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P/21865/2017 vom 5. Juli 2018</w:t>
      </w:r>
    </w:p>
    <w:p>
      <w:r>
        <w:t>GE Cour de justice, 2018-07-05, FR</w:t>
      </w:r>
    </w:p>
    <w:p>
      <w:r>
        <w:rPr>
          <w:b/>
        </w:rPr>
        <w:t xml:space="preserve">Quelle: </w:t>
      </w:r>
      <w:r>
        <w:t>https://mcp.opencaselaw.ch/entscheid/ge_gerichte_P_21865_2017</w:t>
      </w:r>
    </w:p>
    <w:p>
      <w:r>
        <w:t>FR: GE_GERICHTE P/21865/2017 du 5 juillet 2018</w:t>
      </w:r>
    </w:p>
    <w:p>
      <w:r>
        <w:t>IT: GE_GERICHTE P/21865/2017 del 5 luglio 2018</w:t>
      </w:r>
    </w:p>
    <w:p>
      <w:pPr>
        <w:pStyle w:val="Heading2"/>
      </w:pPr>
      <w:r>
        <w:t>Regeste</w:t>
      </w:r>
    </w:p>
    <w:p>
      <w:r>
        <w:t>ILLICÉITÉ ; CONNEXITÉ ; SÉQUESTRE(MESURE PROVISIONNELLE) ; SUPPRESSION(EN GÉNÉRAL) | CPP.197; CPP.263</w:t>
      </w:r>
    </w:p>
    <w:p>
      <w:pPr>
        <w:pStyle w:val="Heading2"/>
      </w:pPr>
      <w:r>
        <w:t>Erwägungen</w:t>
      </w:r>
    </w:p>
    <w:p>
      <w:r>
        <w:rPr>
          <w:b/>
        </w:rPr>
        <w:t>E. 1</w:t>
      </w:r>
    </w:p>
    <w:p>
      <w:r>
        <w:t>Titulaire d'un compte atteint par l'ordonnance querellée, le recourant, prévenu, a qualité pour agir, ayant un intérêt juridiquement protégé à la modification ou à l'annulation de cette décision (art. 104 al. 1 let. a et 382 al. 1 CPP). Il a expliqué en avoir eu connaissance le 10 août 2018, sans que le contraire ne résulte du dossier - et notamment pas de la lettre de la banque du 20 juillet 2018, qui ne comporte rien sur la date à laquelle elle a informé ses clients -. Le recours est ainsi exercé en temps utile (art. 396 al. 1 CPP). Les autres conditions de recevabilité ne posent pas de problème.</w:t>
      </w:r>
    </w:p>
    <w:p>
      <w:r>
        <w:rPr>
          <w:b/>
        </w:rPr>
        <w:t>E. 2</w:t>
      </w:r>
    </w:p>
    <w:p>
      <w:r>
        <w:t>Le recourant fait valoir que ses gains salariaux n'étaient pas illégitimes et qu'ils échappaient donc à toute forme de confiscation.</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w:t>
      </w:r>
    </w:p>
    <w:p>
      <w:r>
        <w:rPr>
          <w:b/>
        </w:rPr>
        <w:t>E. 2.2</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La confiscation suppose une infraction, des valeurs patrimoniales, ainsi qu'un lien de causalité tel que l'obtention des secondes apparaisse comme la conséquence directe et immédiate de la première (ATF 141 IV 305 consid. 6.3.2 p. 313 s.; 141 IV 155 consid. 4.1 p. 162; 140 IV 57 consid. 4.1.1 p. 62; 137 IV 79 consid. 3.2 p. 80 s.). Cela implique notamment que le juge doit établir qu'une infraction génératrice de profits a été commise et que des valeurs patrimoniales déterminées, résultat ou rémunération de cette infraction, ont été incorporées dans le patrimoine du défendeur. 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 Le but des dispositions sur la confiscation est d'absorber les gains illicites obtenus par l'auteur.</w:t>
      </w:r>
    </w:p>
    <w:p>
      <w:r>
        <w:rPr>
          <w:b/>
        </w:rPr>
        <w:t>E. 2.3</w:t>
      </w:r>
    </w:p>
    <w:p>
      <w:r>
        <w:t>L'on ne peut conclure, de la simple exécution d'un acte, que l'avantage est illégal : celui-ci doit l'être en soi. Des valeurs patrimoniales ne peuvent donc pas être confisquées lorsqu'elles proviennent d'un acte objectivement légal; dans ce cas, elles ne constituent pas le produit d'un acte punissable et ne sont de ce fait pas illicites, au sens du droit de la confiscation (ATF 144 IV 285 consid. 2.2 p. 287; 125 IV 4 consid. 2bb p. 8).</w:t>
      </w:r>
    </w:p>
    <w:p>
      <w:r>
        <w:rPr>
          <w:b/>
        </w:rPr>
        <w:t>E. 2.4</w:t>
      </w:r>
    </w:p>
    <w:p>
      <w:r>
        <w:t>En l'espèce, il est constant que le recourant perçoit sa rémunération des autres prévenus sous une forme salariée, et ce, quelle qu'en soit la provenance concrète. Même complice présumé de ces derniers, le recourant perçoit des gains issus directement de son travail, mais non d'un acte illicite, même indirectement. On ne peut, en effet, pas supputer que des économies réalisées au détriment du personnel de maison, comme les consorts H______ se le voient reprocher, profiteraient nécessairement au recourant, ou à lui plus qu'un autre, sous la forme de la rémunération, aussi " généreuse " soit-elle, de son activité pour eux. Peu importe la qualification exacte des liens juridiques noués entre le recourant et les consorts H______ dans ce domaine : le dossier établit qu'à l'évidence, le recourant accomplit des tâches subordonnées, à l'instar d'un contrat de travail, et que ces tâches, même en lien avec le personnel de maison (plus exactement : la préparation de demandes de visas Schengen pour la France), ne sont pas illicites en soi. Dès lors, elles ne peuvent lui procurer un avantage confiscable. Il n'y a donc pas place pour un séquestre de products sceleris ou de garantie d'une créance compensatrice.</w:t>
      </w:r>
    </w:p>
    <w:p>
      <w:r>
        <w:rPr>
          <w:b/>
        </w:rPr>
        <w:t>E. 3</w:t>
      </w:r>
    </w:p>
    <w:p>
      <w:r>
        <w:t>Le recours doit par conséquent être admis pour ce motif, l'ordonnance attaquée, annulée et le séquestre, levé. Il n'est ainsi pas nécessaire d'examiner le " vice de forme " que le recourant voit dans la formulation de l'étendue du séquestre et dans la latitude prétendument laissée aux banques concernées.</w:t>
      </w:r>
    </w:p>
    <w:p>
      <w:r>
        <w:rPr>
          <w:b/>
        </w:rPr>
        <w:t>E. 4</w:t>
      </w:r>
    </w:p>
    <w:p>
      <w:r>
        <w:t>Il ne sera pas perçu de frais (art. 428 al. 4 CPP).</w:t>
      </w:r>
    </w:p>
    <w:p>
      <w:r>
        <w:rPr>
          <w:b/>
        </w:rPr>
        <w:t>E. 5</w:t>
      </w:r>
    </w:p>
    <w:p>
      <w:r>
        <w:t>Le recourant, prévenu qui a gain de cause, demande une indemnité qu'il ne chiffre pas. En tant que les écritures de son défenseur sont topiques et concises, il lui sera alloué, ex aequo et bono , CHF 2'700.- plus TVA (7,7 %).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