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P/21843/2014 vom 4. Juli 2016</w:t>
      </w:r>
    </w:p>
    <w:p>
      <w:r>
        <w:t>GE Cour de justice, 2016-07-04, FR</w:t>
      </w:r>
    </w:p>
    <w:p>
      <w:r>
        <w:rPr>
          <w:b/>
        </w:rPr>
        <w:t xml:space="preserve">Quelle: </w:t>
      </w:r>
      <w:r>
        <w:t>https://mcp.opencaselaw.ch/entscheid/ge_gerichte_P_21843_2014</w:t>
      </w:r>
    </w:p>
    <w:p>
      <w:r>
        <w:t>FR: GE_GERICHTE P/21843/2014 du 4 juillet 2016</w:t>
      </w:r>
    </w:p>
    <w:p>
      <w:r>
        <w:t>IT: GE_GERICHTE P/21843/2014 del 4 luglio 2016</w:t>
      </w:r>
    </w:p>
    <w:p>
      <w:pPr>
        <w:pStyle w:val="Heading2"/>
      </w:pPr>
      <w:r>
        <w:t>Regeste</w:t>
      </w:r>
    </w:p>
    <w:p>
      <w:r>
        <w:t>RETRAIT DE PERMIS; EXCÈS DE VITESSE; FIXATION DE LA PEINE ; LOI FÉDÉRALE SUR LA CIRCULATION ROUTIÈRE | LCR 90.2 ; LCR 95.1.B ; CP 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Une violation grave des règles de la circulation routière au sens de l'art. 90 al. 2 LCR est passible d'une peine privative de liberté de trois ans au plus ou d'une peine pécuniaire de 360 jours-amende au maximum. L'art. 95 al. 1 let. b. LCR prévoit la même peine pour la conduite nonobstant un refus ou retrait de permis de conduire.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6B_580/2015 du 18 avril 2016 consid. 1.3 et 6B_1249/2014 du 7 septembre 2015 consid. 1.2). 2.1.3.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À l'inverse,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2.1.4. Dans le domaine des excès de vitesse, la jurisprudence, afin d'assurer l'égalité de traitement, a été amenée à fixer des règles précises. Ainsi, le cas est objectivement grave au sens de l'art. 90 al. 2 LCR, c'est-à-dire sans égard aux circonstances concrètes, en cas de dépassement de la vitesse autorisée de 25 km/h ou plus à l'intérieur des localités (ATF 132 II 234 consid. 3.2 p. 238; 124 II 259 consid. 2b p. 261 ss.). L'importance de la mise en danger et celle de la faute doivent néanmoins être appréciées au regard des circonstances du cas concret afin de fixer la sanction (cf. 47 CP; arrêt 6B_264/2007 du 19 septembre 2007 consid. 3.1). Aussi, si l'on peut comprendre, dans le contexte du traitement des infractions de masse, la pratique du MP consistant à appliquer une échelle de peines correspondant à l'importance du dépassement de vitesse, ce qui revient à prendre pour seul critère celui de la gravité objective de la faute, il ne saurait être question, pour le juge du fond, de renoncer à appliquer l'ensemble des critères de l'art. 47 CP ( AARP/264/2016 du 28 juin 2016 consid. 2.3.).</w:t>
      </w:r>
    </w:p>
    <w:p>
      <w:r>
        <w:rPr>
          <w:b/>
        </w:rPr>
        <w:t>E. 2.2</w:t>
      </w:r>
    </w:p>
    <w:p>
      <w:r>
        <w:t>La faute de l'intimé est grave, celui-ci ayant doublement contrevenu à des règles importantes de la circulation routière, en roulant, à l'intérieur d'une localité, à une vitesse supérieure de 46 km/h à la vitesse autorisée de 50 km/h et cela alors qu'il était sous le coup d'un retrait de permis. L'ancienneté de ce retrait est un facteur aggravant car le manque de pratique ne pouvait qu'augmenter la dangerosité de la conduite de l'intéressé. S'y ajoute qu'il a choisi, de son propre aveu, de circuler au volant d'une voiture puissante, avec pour conséquence qu'il s'est laissé surprendre, et qu'il était dans une période de vulnérabilité particulière. Comme retenu par le Tribunal fédéral dans l'arrêt 6B_580/2015 du 18 avril 2016 cité par les parties, il ne peut en revanche être retenu à charge que l'intimé aurait causé un danger concret, vu les conditions de circulation particulièrement bonnes, et le dossier ne faisant pas mention de la présence de piétons, cyclistes ou autres usagers de la route. On ne saurait octroyer une valeur excessive à la collaboration de l'intimé. Certes, celui-ci s'est spontanément présenté au poste de police, se dénonçant comme le conducteur "flashé" mais il n'avait guère d'alternative, dès lors que la détentrice de l'automobile avait été identifiée, en la personne de sa compagne, laquelle n'était pas titulaire d'un permis de conduire. Qu'il ait entrepris de lui épargner des désagréments sérieux, voire une condamnation injuste, est compréhensible mais n'a rien de particulièrement méritoire et ne constitue en tous les cas pas la démonstration d'une véritable prise de conscience. À cet égard, les propos tenus à l'audience d'appel au sujet de la frustration ressentie face au retrait de permis remontant à 2001 laissent songeur, tout comme le choix d'acquérir un véhicule puissant, prétendument pour la compagne apprentie-conductrice, d'autant que l'intimé admet qu'il s'agissait de son caprice et qu'il a conduit la voiture à quelques reprises. La "reprise en main" évoquée est souhaitable mais ne peut pas davantage être attribuée aux faits, ni ne devrait être fragilisée par la sanction envisagée, les conditions du sursis étant manifestement réalisées, ce qui n'est d'ailleurs pas remis en question par le MP. L'absence d'antécédents spécifiques est la moindre des choses que l'on peut attendre de l'intimé, privé de permis depuis une quinzaine d'années. Contrairement à ce que soutient l'intimé, l'ampleur de l'excès de vitesse entre son cas et celui commis dans l'affaire ayant abouti à l'arrêt du Tribunal fédéral déjà cité est très comparable, et proche du seuil déclenchant l'application des règles de via secura, s'agissant de 46 km/h dans une localité, pour la présente espèce, pour 49 km/h dans une localité également, dans l'autre occurrence. Enfin, il est vrai qu'il y a concours d'infractions (art. 49 CP). Il est difficile de déterminer laquelle d'entre elles est concrètement la plus grave, toutes deux étant sérieuses. La CPAR penche plutôt pour l'excès de vitesse, vu son importance, lequel appelle une sanction de l'ordre de 180 à 210 jours-amende, le comportement envisagé se situant dans la fourchette supérieure de ceux susceptibles de tomber sous le coup de l'art. 90 al. 2 LCR. En conclusion, force est de constater que la peine infligée par le premier juge est effectivement excessivement clémente. Celle de 270 jours-amende proposée par le MP est plus adéquate au regard des éléments qui précèdent. Elle reste d'ailleurs mesurée. L'appel sera donc admis et la peine arrêtée à 270 jours-amende. La quotité de CHF 40.-/jour n'est pas critiquée par les parties et proportionnée à la situation financière de l'intimé de sorte qu'il n'y a pas lieu de la revoir.</w:t>
      </w:r>
    </w:p>
    <w:p>
      <w:r>
        <w:rPr>
          <w:b/>
        </w:rPr>
        <w:t>E. 3</w:t>
      </w:r>
    </w:p>
    <w:p>
      <w:r>
        <w:t>L'intimé, qui succombe, supportera les frais de la procédure d'appel envers l'État (art. 428 CPP), lesquels comprendront un émolument d'arrêt de CHF 1'000.- (art. 14 let. e du règlement fixant le tarif des frais en matière pénale du 22 décembre 2010 (RTFMP - E 4 10.03).</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4.2.2. À teneur de la jurisprudence, est décisif pour fixer la rémunération de l'avocat, le nombre d'heures nécessaires pour assurer la défense d'office du prévenu (arrêt du Tribunal fédéral 2C_509/2007 du 19 novembre 2007 consid. 4. 4.2.3.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4.3</w:t>
      </w:r>
    </w:p>
    <w:p>
      <w:r>
        <w:t>En l'occurrence, l'état de frais présenté, considéré dans sa globalité, satisfait aux exigences développées en matière d'assistance juridique. Le défenseur d'office sera par conséquent indemnisé par CHF 1'640.- (arrondi), pour six heures de travail du chef d'étude et une du stagiaire, la majoration forfaitaire de 20% et la TVA au taux de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