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P/21829/2018 vom 2. Dezember 2020</w:t>
      </w:r>
    </w:p>
    <w:p>
      <w:r>
        <w:t>GE Cour de justice, 2020-12-02, FR</w:t>
      </w:r>
    </w:p>
    <w:p>
      <w:r>
        <w:rPr>
          <w:b/>
        </w:rPr>
        <w:t xml:space="preserve">Quelle: </w:t>
      </w:r>
      <w:r>
        <w:t>https://mcp.opencaselaw.ch/entscheid/ge_gerichte_P_21829_2018</w:t>
      </w:r>
    </w:p>
    <w:p>
      <w:r>
        <w:t>FR: GE_GERICHTE P/21829/2018 du 2 décembre 2020</w:t>
      </w:r>
    </w:p>
    <w:p>
      <w:r>
        <w:t>IT: GE_GERICHTE P/21829/2018 del 2 dicembre 2020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2.1.2.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2.2</w:t>
      </w:r>
    </w:p>
    <w:p>
      <w:r>
        <w:t>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Selon la première variante de l'art. 285 ch. 1 CP, il n'est pas nécessaire que l'acte du fonctionnaire soit rendu totalement impossible: il suffit qu'il soit entravé de telle manière qu'il ne puisse être accompli comme prévu ou qu'il soit rendu plus difficile (ATF 133 IV 97 consid. 4.2 p. 100 et consid 5.2 p. 102 ad art. 286 CP; 120 IV 136 consid. 2a p. 139).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 arrêt 6B_257/2010 du 5 octobre 2010 consid. 5.1.1).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putatifs ou encore sur un autre élément qui peut avoir pour effet d'atténuer ou d'exclure la peine (ATF 129 IV 257 consid. 2.2.1 p. 259 ; 129 IV 6 ). 2.4.1. A titre préliminaire, il sera rappelé que les faits reprochés à la police à la suite de la plainte déposée par l'appelant font l'objet d'une procédure distincte, soustraite, à tout le moins pour l'heure, à la cognition de la CPAR, dans la mesure où les irrégularités identifiées par l'IGS touchent uniquement aux événements postérieurs à la tentative de l'intimé d'interpeller l'appelant. En ce qui concerne cet événement précis, le rapport de l'IGS n'apporte aucun élément nouveau, pas plus que les procès-verbaux des auditions effectuées par ledit service. 2.4.2. Bien qu'il affirme s'être contenté de " repousser " l'intimé, l'appelant ne conteste, à raison, pas être à l'origine de la marque rouge visible sur le cliché du policier versé au dossier. Cette marque, bien que légère, est d'une intensité suffisante pour retenir des voies de faits justifiant l'application de l'art. 285 CP, sans qu'il soit nécessaire de déterminer si elle a été causée par un coup donné la main ouverte ou fermée. Par ailleurs, même s'il n'avait provoqué aucune marque, le simple geste de frapper un policier aux visage relève d'un acte de violence, réprimé par l'art. 285 CP lorsqu'il est pratiqué sur un fonctionnaire en service. Il est par conséquent établi que l'appelant a bel et bien frappé l'intimé au moment où celui-ci tentait de le ceinturer, de sorte que tous les éléments constitutifs objectifs de l'infraction sont réalisés. 2.4.3. Reste à déterminer si, comme il l'affirme, l'appelant pensait alors avoir affaire à un voleur ou bien s'il savait ou devait se douter de ce qu'il s'agissait d'un policier qui procédait à son interpellation. Il sera tout d'abord observé que, s'il ne peut être exclu que des délinquants, singulièrement des vendeurs de drogue, puissent être eux-mêmes la cible de malfaiteurs, il est bien plus fréquent qu'ils soient l'objet de l'attention des forces de l'ordre. Tel est le danger premier auquel le vendeur de rue doit être attentif. L'expérience générale de la vie conduit donc plutôt à exclure que la première et unique explication que l'appelant ait donnée à la présence de plusieurs hommes puis encore d'un quidam tentant de l'intercepter fût celle qu'il avait affaire à des voleurs plutôt qu'à un dispositif policier. L'appelant a d'ailleurs indiqué à l'expert du CURML, le lendemain des faits, avoir pris la fuite dès qu'il s'était rendu compte qu'il venait de vendre de la drogue à un policier, soit bien avant sa rencontre avec l'intimé. Il n'y a pas de raison de penser que son propos ait été mal compris par l'expert, dans la mesure où il ressort dudit rapport que l'entretien s'est déroulé en français et partiellement en anglais, langues de toute évidence maîtrisées par l'expert, et qu'une interprète en a assuré la traduction en albanais pour l'appelant. Rien dans le rapport n'indique d'ailleurs que celle-ci se serait absentée avant la fin de l'entretien, comme l'affirme l'appelant. Le comportement de l'appelant à la suite de son altercation avec l'intimé est révélateur de sa détermination à échapper coûte que coûte aux forces de police, puisqu'il a persisté à s'enfuir, allant jusqu'à sauter par-dessus un véhicule en stationnement, même après l'arrivée sur les lieux d'un véhicule de police, certes banalisé, mais reconnaissable à ses gyrophares enclenchés, et s'est fortement débattu lors de son arrestation, rendant nécessaires l'intervention de deux policiers et l'usage de la force. Ce constat achève de convaincre de l'inanité de la thèse de l'appelant. Il n'est ici pas nécessaire d'examiner quelle est la crédibilité de la partie plaignante, dès lors qu'il s'agit uniquement de déterminer quel pouvait être le for intérieur de l'appelant, ce qui dépend de sa propre crédibilité, mesurée à l'aune des éléments objectifs du dossier. Néanmoins, il sera observé qu'il est hautement plausible que l'intimé se soit légitimé lorsqu'il a tenté de bloquer l'appelant dans sa fuite. On ne voit pas pourquoi il ne l'aurait pas fait, ne serait-ce que dans l'espoir de convaincre le délinquant de ne pas résister, ce qui lui aurait facilité la tâche. D'ailleurs, la défense le concède à demi-mots, plaidant que le fait que le policier ait pu s'annoncer comme tel n'était pas de nature à dissuader l'appelant de penser qu'il s'agissait d'un voleur, rusé. Quoi qu'il en soit, pour les motifs qui précèdent, l'appelant ne saurait être suivi lorsqu'il affirme qu'il pensait avoir affaire à un malfaiteur à l'approche de l'intimé. Il est ainsi établi que l'appelant a délibérément asséné un coup à l'intimé, dont il savait ou du moins a nécessairement envisagé qu'il était un policier, afin d'empêcher son interpellation. L'appelant sera ainsi reconnu coupable d'infraction à l'art. 285 CP, l'appel étant rejeté sur ce point.</w:t>
      </w:r>
    </w:p>
    <w:p>
      <w:r>
        <w:rPr>
          <w:b/>
        </w:rPr>
        <w:t>E. 3</w:t>
      </w:r>
    </w:p>
    <w:p>
      <w:r>
        <w:t>3.1. L'infraction à l'art. 19 al. 1 LStup et la violence ou menace contre les autorités ou les fonctionnaires (art. 285 ch. 1 CP) sont réprimées par 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w:t>
      </w:r>
    </w:p>
    <w:p>
      <w:r>
        <w:rPr>
          <w:b/>
        </w:rPr>
        <w:t>E. 3.3</w:t>
      </w:r>
    </w:p>
    <w:p>
      <w:r>
        <w:t>En l'espèce, la faute de l'appelant est sérieuse. Il était censé écouler 20 doses d'héroïne, soit un nombre important même si l'aggravante de l'art. 19 al 2 let a LStup n'a pas été retenue et s'en est pris à un policier, alors que celui-ci faisait son travail en tentant de l'interpeller. Son mobile relève de l'appât du gain pour le trafic de stupéfiants, ainsi que d'un mépris flagrant pour la loi et l'autorité en ce qui concerne l'infraction à l'art. 285 CP, doublé de l'intention de conserver le produit de la vente illicite, sans doute destiné à celui qui l'avait mis en oeuvre, mais contre rémunération. Sa collaboration n'appelle pas de commentaire en ce qui concerne la première infraction, étant rappelé qu'il a été surpris en flagrant délit, et doit être qualifiée de mauvaise pour le coup donné à la partie plaignante, puisqu'il n'a eu de cesse de minimiser les faits. Il en découle une prise de conscience partielle de la gravité de ses actes. La situation personnelle de l'appelant ne saurait justifier son comportement, ce d'autant qu'il dit avoir quitté un emploi en Albanie pour venir à Genève. Compte tenu du caractère manifestement non recouvrable d'une éventuelle peine-pécuniaire, seule une peine privative de liberté peut entrer en considération pour sanctionner adéquatement la faute de l'appelant. C'est ainsi en vain qu'il invoque l'arrêt 144 IV 217 , qui n'interdit pas le prononcé d'une peine d'ensemble si chaque infraction considérée appelle le même genre de sanction. La peine menace étant identique pour les deux infractions, il sera retenu que la plus grave est celle relevant du trafic de stupéfiants, qui mérite, vu le nombre de sachets en cause et les autres critères de fixation de la peine, une peine privative de liberté de neuf mois. Une aggravation de deux mois (peine hypothétique : trois mois) se justifie de sorte qu'il convient de confirmer le jugement entrepris sur ce point également. Le sursis est acquis à l'appelant.</w:t>
      </w:r>
    </w:p>
    <w:p>
      <w:r>
        <w:rPr>
          <w:b/>
        </w:rPr>
        <w:t>E. 4</w:t>
      </w:r>
    </w:p>
    <w:p>
      <w:r>
        <w:t>L'appelant, qui succombe, supportera les frais de la procédure envers l'État, ceux-ci comprenant un émolument de CHF 1'500.- (art. 428 CPP ; 14 al.1 let. e du règlement fixant le tarif des frais et dépens en matière pénale [RTFMP]). La mise à charge de l'appelant des frais de procédure de première instance sera confirmée (art. 426 CPP).</w:t>
      </w:r>
    </w:p>
    <w:p>
      <w:r>
        <w:rPr>
          <w:b/>
        </w:rPr>
        <w:t>E. 5</w:t>
      </w:r>
    </w:p>
    <w:p>
      <w:r>
        <w:t>Considéré globalement, l'état de frais produit par le défenseur d'office de A______, satisfait les exigences légales et jurisprudentielles régissant l'assistance judiciaire gratuite en matière pénale. Sa rémunération sera arrêtée à CHF 1'594.- pour 5 heures et vingt minutes d'activité (débats compris) + la majoration forfaitaire de 20% + les deux vacations aux débats d'appel (2 x CHF 100.-) + la TV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