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P/21821/2021 vom 9. Februar 2022</w:t>
      </w:r>
    </w:p>
    <w:p>
      <w:r>
        <w:t>GE Cour de justice, 2022-02-09, FR</w:t>
      </w:r>
    </w:p>
    <w:p>
      <w:r>
        <w:rPr>
          <w:b/>
        </w:rPr>
        <w:t xml:space="preserve">Quelle: </w:t>
      </w:r>
      <w:r>
        <w:t>https://mcp.opencaselaw.ch/entscheid/ge_gerichte_P_21821_2021</w:t>
      </w:r>
    </w:p>
    <w:p>
      <w:r>
        <w:t>FR: GE_GERICHTE P/21821/2021 du 9 février 2022</w:t>
      </w:r>
    </w:p>
    <w:p>
      <w:r>
        <w:t>IT: GE_GERICHTE P/21821/2021 del 9 febbraio 2022</w:t>
      </w:r>
    </w:p>
    <w:p>
      <w:pPr>
        <w:pStyle w:val="Heading2"/>
      </w:pPr>
      <w:r>
        <w:t>Regeste</w:t>
      </w:r>
    </w:p>
    <w:p>
      <w:r>
        <w:t>DÉFENSE;DÉFENSE D'OFFICE;DÉNUEMENT | CPP.130; CPP.132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Chambre de céans possède un plein pouvoir d'examen en fait et en droit et n'est pas liée par les motifs invoqués par les parties (art. 391 al. 1 let. a CPP) ni par la motivation de l'autorité précédente dont elle à connaître des décisions, le seul principe applicable en la matière étant celui de la vérité matérielle objective et de la légalité (art. 7 CPP) ainsi que la maxime d'instruction et l'adage "jura novit curia" (art. 6 CPP ; ACPR/831/2017 du 6 décembre 2017; JEANNERET / A. KUHN / C. PERRIER DEPEURSINGE (éds), Commentaire romand : Code de procédure pénale suisse, 2ème éd., Bâle 2019, n. 56 s; L. MOREILLON / A. PAREIN-REYMOND, CPP, Code de procédure pénale , Bâle 2016, n. 1-2 ad art. 391 ; ACPR/831/2017 du 6 décembre 2017). On a ainsi pu écrire que le pouvoir d'examen de l'autorité de recours est "presque discrétionnaire" (Y. JEANNERET / A. KUHN / C. PERRIER DEPEURSINGE (éds), op. cit., n. 2 ad art. 391).</w:t>
      </w:r>
    </w:p>
    <w:p>
      <w:r>
        <w:rPr>
          <w:b/>
        </w:rPr>
        <w:t>E. 4</w:t>
      </w:r>
    </w:p>
    <w:p>
      <w:r>
        <w:t>ad art. 131 CPP). Cependant, des indices de limitation ou d'absence d'une telle capacité doivent exister pour qu'il puisse être attendu de l'autorité qu'elle obtienne des éclaircissements à ce sujet.</w:t>
      </w:r>
    </w:p>
    <w:p>
      <w:r>
        <w:rPr>
          <w:b/>
        </w:rPr>
        <w:t>E. 4.1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(cf. art. 131 al. 1 CPP; ATF 131 I 350 consid. 2.1; arrêt du Tribunal fédéral 1B_318/2014 du 27 octobre 2014 consid. 2.2 ; Y. JEANNERET / A. KUHN / C. PERRIER DEPEURSINGE (éds), op cit.,</w:t>
      </w:r>
    </w:p>
    <w:p>
      <w:r>
        <w:rPr>
          <w:b/>
        </w:rPr>
        <w:t>E. 4.2</w:t>
      </w:r>
    </w:p>
    <w:p>
      <w:r>
        <w:t>Un cas de défense obligatoire au sens de l'art. 130 CPP impose au prévenu l'assistance d'un défenseur, que celui-ci le soit à titre privé (cf. art. 129 CPP) ou désigné d'office (cf. art. 132 CPP).</w:t>
      </w:r>
    </w:p>
    <w:p>
      <w:r>
        <w:rPr>
          <w:b/>
        </w:rPr>
        <w:t>E. 4.3</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4.4</w:t>
      </w:r>
    </w:p>
    <w:p>
      <w:r>
        <w:t>La condition de l'indigence est réalisée si la personne concernée ne peut assumer les frais du procès sans entamer les moyens nécessaires à son entretien et à celui de sa famille (ATF 144 III 531 consid. 4.1; 141 III 369 consid. 4.1). L'indigence s'apprécie en fonction de l'ensemble des ressources du recourant, dont ses revenus, sa fortune et ses charges, tous les éléments pertinents étant pris en considération. La situation économique existant au moment du dépôt de la requête est déterminante, le requérant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(ATF 135 I 221 consid. 5.1 ; Y. JEANNERET / A. KUHN / C. PERRIER DEPEURSINGE (éds), Commentaire romand : Code de procédure pénale suisse, 2ème éd., Bâle 2019, n. 59a ad art. 132 CPP par renvoi de n. 30 ad art. 136 CPP).</w:t>
      </w:r>
    </w:p>
    <w:p>
      <w:r>
        <w:rPr>
          <w:b/>
        </w:rPr>
        <w:t>E. 4.5</w:t>
      </w:r>
    </w:p>
    <w:p>
      <w:r>
        <w:t>Si, en règle générale, les personnes qui bénéficient de l'aide sociale peuvent être considérées comme indigentes (ATF 125 IV 161 consid. 4b; arrêt du Tribunal fédéral 1B_357/2017 du 15 novembre 2017 consid. 2.2), dans certains cas, le fait de dépendre de l'aide sociale sur le plan économique peut ne pas suffire à établir l'indigence, même lorsque le requérant fournit une attestation en ce sens (arrêt du Tribunal fédéral 1B_597/2020 du 29 janvier 2021 consid. 3.4).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et les arrêts cités; ACPR/678/2021 du 12 octobre 2021).</w:t>
      </w:r>
    </w:p>
    <w:p>
      <w:r>
        <w:rPr>
          <w:b/>
        </w:rPr>
        <w:t>E. 4.6</w:t>
      </w:r>
    </w:p>
    <w:p>
      <w:r>
        <w:t>Selon la jurisprudence constante de la Chambre de céans, qui s'appuie sur celle du Tribunal fédéral, une majoration de 20% du montant de base selon les normes d'insaisissabilité de l'Office des poursuites du requérant et de sa famille est admise dans le calcul du minimum vital en matière d'assistance juridique. Cette majoration s'applique au montant de l'entretien de base OP et non à l'ensemble des charges du requérant ( DCPR/211/2011 du 16 août 2011). Les normes d'insaisissabilité de Genève dès 2021 (E 3 60.04 en vigueur dès le 1 er janvier 2021), prévoient un montant de base pour un débiteur vivant seul de CHF 1'200.-,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w:t>
      </w:r>
    </w:p>
    <w:p>
      <w:r>
        <w:rPr>
          <w:b/>
        </w:rPr>
        <w:t>E. 4.7</w:t>
      </w:r>
    </w:p>
    <w:p>
      <w:r>
        <w:t>En l'espèce, vu le handicap du recourant, ainsi que ses autres problèmes de santé – attestés par un certificat médical daté du 16 décembre 2021 –, il se trouve dans un cas de défense obligatoire (art. 130 let. c CPP). Il n'apparaît en effet pas en mesure de prendre connaissance par lui-même des actes envoyés par les autorités pénales et, le cas échéant, de réagir dans les délais. Jusqu'à présent, hormis sa première audition à la police, il a été assisté d'un défenseur de choix. Néanmoins, on ne peut déduire des éléments fournis par le recourant que son indigence serait établie. À cet égard et, contrairement à ce que l'intéressé prétend, l'absence de l'analyse de cette condition, par le Ministère public, n'implique pas qu'elle serait "incontestablement donnée". Au contraire, il ressort des pièces produites que, bien qu'il soit bénéficiaire de prestations complémentaires, il dispose, après prise en compte de son minimum vital majoré et de ses charges, d'un solde mensuel de l'ordre de CHF 988.- [CHF 3'779.35 (ressources) - CHF 1'440.- (minimum vital majoré de 20%) – CHF 1'351.35 (charges allégués)]. Certes, il est difficile en l'état d'estimer la durée de la procédure. Celle-ci pourrait toutefois prendre fin après une confrontation. Si tel devait être le cas, les montants à disposition du recourant lui permettraient d'assumer les honoraires de son conseil, par ses propres moyens, fût-ce par mensualités et conformément à la jurisprudence précitée. La question pourrait être réexaminée si la procédure devait connaître des développements plus amples. Faute d'indigence, la défense d'office n'avait, en l'état, pas à être ordonnée (art. 132 al. 1 let. b CPP). C'est ainsi à bon droit que le Ministère public a refusé d'ordonner une défense d'office.</w:t>
      </w:r>
    </w:p>
    <w:p>
      <w:r>
        <w:rPr>
          <w:b/>
        </w:rPr>
        <w:t>E. 5</w:t>
      </w:r>
    </w:p>
    <w:p>
      <w:r>
        <w:t>Justifiée, l'ordonnance querellée sera donc confirmée.</w:t>
      </w:r>
    </w:p>
    <w:p>
      <w:r>
        <w:rPr>
          <w:b/>
        </w:rPr>
        <w:t>E. 6</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