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P/21803/2023 vom 5. August 2024</w:t>
      </w:r>
    </w:p>
    <w:p>
      <w:r>
        <w:t>GE Cour de justice, 2024-08-05, FR</w:t>
      </w:r>
    </w:p>
    <w:p>
      <w:r>
        <w:rPr>
          <w:b/>
        </w:rPr>
        <w:t xml:space="preserve">Quelle: </w:t>
      </w:r>
      <w:r>
        <w:t>https://mcp.opencaselaw.ch/entscheid/ge_gerichte_P_21803_2023</w:t>
      </w:r>
    </w:p>
    <w:p>
      <w:r>
        <w:t>FR: GE_GERICHTE P/21803/2023 du 5 août 2024</w:t>
      </w:r>
    </w:p>
    <w:p>
      <w:r>
        <w:t>IT: GE_GERICHTE P/21803/2023 del 5 agosto 2024</w:t>
      </w:r>
    </w:p>
    <w:p>
      <w:pPr>
        <w:pStyle w:val="Heading2"/>
      </w:pPr>
      <w:r>
        <w:t>Regeste</w:t>
      </w:r>
    </w:p>
    <w:p>
      <w:r>
        <w:t>MENDICITÉ;CEDH;LÉGALITÉ;LIBERTÉ PERSONNELLE;PROPORTIONNALITÉ | LPG11A</w:t>
      </w:r>
    </w:p>
    <w:p>
      <w:pPr>
        <w:pStyle w:val="Heading2"/>
      </w:pPr>
      <w:r>
        <w:t>Erwägungen</w:t>
      </w:r>
    </w:p>
    <w:p>
      <w:r>
        <w:rPr>
          <w:b/>
        </w:rPr>
        <w:t>E. 3</w:t>
      </w:r>
    </w:p>
    <w:p>
      <w:r>
        <w:t>L'appelante conteste la peine infligée au motif que la CourEDH a proscrit, en matière de mendicité, la conversion d'amende en peine privative de liberté.</w:t>
      </w:r>
    </w:p>
    <w:p>
      <w:r>
        <w:rPr>
          <w:b/>
        </w:rPr>
        <w:t>E. 3.1</w:t>
      </w:r>
    </w:p>
    <w:p>
      <w:r>
        <w:t>La législation genevoise prévoit exclusivement l'amende comme sanction de l'interdiction de la mendicité passive en certains lieux (cf. art. 11A al. 1 LPG), à l'exclusion de tout mécanisme graduel de sanction préalable.</w:t>
      </w:r>
    </w:p>
    <w:p>
      <w:r>
        <w:rPr>
          <w:b/>
        </w:rPr>
        <w:t>E. 3.1.1</w:t>
      </w:r>
    </w:p>
    <w:p>
      <w:r>
        <w:t>Dans son arrêt Lacatus c. Suisse, la CourEDH n'a pas exclu en soi une sanction pénale à la mendicité, dans le sens que la gravité de ladite sanction doit être examinée dans le cadre d'une pesée des intérêts et à l'aune de solides motifs d'intérêt public.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w:t>
      </w:r>
    </w:p>
    <w:p>
      <w:r>
        <w:rPr>
          <w:b/>
        </w:rPr>
        <w:t>E. 3.1.2</w:t>
      </w:r>
    </w:p>
    <w:p>
      <w:r>
        <w:t>Le Tribunal fédéral, tout en admettant qu'il n'était pas question de renoncer à sanctionner une personne dont le comportement avait été reconnu par le législateur comme digne d'être puni, au seul motif qu'elle était sans ressources, a néanmoins jugé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(ATF 149 I 248 consid. 5.4.2 et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w:t>
      </w:r>
    </w:p>
    <w:p>
      <w:r>
        <w:rPr>
          <w:b/>
        </w:rPr>
        <w:t>E. 3.2</w:t>
      </w:r>
    </w:p>
    <w:p>
      <w:r>
        <w:t>Dans le cas présent, l'appelante n'a pas d'antécédent et le dossier ne contient aucun élément indiquant qu'elle aurait, préalablement au 29 avril 2023 à 11h35, date de la première occurrence qui lui est reprochée, été avertie ou sensibilisée au fait qu'il lui était interdit de mendier à proximité de l'entrée d'un commerce, sous peine d'amende, elle-même susceptible de conversion en peine privative de liberté en cas de non-paiement. Sanctionner d'une amende cette première occurrence n'est dès lors compatible ni avec la CEDH, ni avec la jurisprudence du Tribunal fédéral. Aussi, aucune peine ne sera prononcée en lien avec celle-ci. En revanche, il peut être retenu que cette interpellation aura constitué un avertissement suffisant quant à l'illicéité de son activité et aux risques encourus, en termes de sanction, en cas de mendicité passive dans des lieux proscrits. Le fait que l'appelante ait, par la suite, fait fi des avis qui lui étaient adressés et ait persisté à solliciter la générosité des passants à proximité des mêmes commerces, ou d'enseignes similaires situées dans le quartier, démontre que, s'agissant de ces récidives, des mesures administratives moins incisives seraient restées sans effet et que le principe du prononcé d'amendes n'est, s'agissant de celles-ci, pas disproportionné et ne doit pas être remis en cause. Il s'ensuit qu'à l'exception de l'occurrence du 29 avril 2023 à 11h35, le principe du prononcé d'amendes pour les 17 autres occurrences, intervenues entre le 29 avril 2023 à 14h55 et le 8 août 2023 à 13h00, doit être admis.</w:t>
      </w:r>
    </w:p>
    <w:p>
      <w:r>
        <w:rPr>
          <w:b/>
        </w:rPr>
        <w:t>E. 4</w:t>
      </w:r>
    </w:p>
    <w:p>
      <w:r>
        <w:t>L'appelante conclut, subsidiairement, en cas de condamnation, à une exemption de peine, relevant que, dans une procédure similaire, le TP a fait application de l'art. 52 CP.</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4.2</w:t>
      </w:r>
    </w:p>
    <w:p>
      <w:r>
        <w:t>En l'espèce, l'infraction de mendicité est certes de peu d'importance au regard d'autres infractions, ce dont il est tenu compte dans le type de sanction prévu par l'art. 11A al. 1 LPG. L'appelante n'explique toutefois pas en quoi sa culpabilité serait peu importante par rapport à d'autres cas relevant de la même disposition. Elle ne peut à cet égard rien tirer de la procédure devant le TP à laquelle elle se réfère, le jugement rendu dans celle-ci ( JTDP/1074/2023 du 22 août 2023) n'étant pas motivé et ne permettant dès lors pas de conclure, cas échéant, à une situation similaire. La culpabilité de l'appelante n'est au demeurant pas anodine, dès lors qu'à la suite de sa première interpellation par des agents, elle a récidivé à 17 reprises dans des circonstances similaires, la première fois quelques heures après avoir été déclarée en contravention pour avoir mendier dans un lieu prohibé, alors qu'elle ne pouvait ignorer que son comportement était illicite. Force est dès lors de constater que les conditions de l'art. 52 CP ne sont pas réalisées, de sort qu'une exemption de peine sur cette base n'entre pas en considération.</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w:t>
      </w:r>
    </w:p>
    <w:p>
      <w:r>
        <w:rPr>
          <w:b/>
        </w:rPr>
        <w:t>E. 5.3</w:t>
      </w:r>
    </w:p>
    <w:p>
      <w:r>
        <w:t>Dans le cas présent, la faute de l'appelante doit être qualifiée de faible à moyenne. Si l'on excepte la première occurrence, elle a mendié à 17 reprises dans des endroits interdits, en l'espace de trois mois et dans un périmètre restreint, parfois à quelques heures d'intervalle, montrant le peu de cas qu'elle faisait des injonctions pourtant claires des forces de l'ordre concernant l'illicéité de son comportement. Sa situation personnelle, indéniablement précaire, explique partiellement ses agissements mais ne les justifie pas, dans la mesure où il existait d'autres lieux où elle pouvait s'adonner à la mendicité de manière licite. Sa collaboration n'appelle pas de remarque particulière, puisqu'elle ne s'est pas exprimée durant la procédure. Elle n'a pas d'antécédent en Suisse, facteur neutre sur la peine. Il y a concours d'infractions d'où le bénéfice du principe d'aggravation (art. 49 CP cum art. 104 CP). Au vu de ces éléments, le prononcé d'une sanction globale de CHF 600.- demeure adéquat et conforme à la jurisprudence de la CPAR, malgré l'absence de sanction des faits du 29 avril 2023 à 11h35, étant précisé qu'un montant de CHF 100.- dans le cadre d'une peine hypothétique, augmentée de CHF 40.- pour chaque nouvelle occurrence a été considéré comme approprié (cf. AARP/88/2024 du 6 mars 2024 consid. 3.6). En dépit de l'acquittement lié à la première occurrence, le montant de l'amende fixée par le premier juge sera dès lors maintenu. Le jugement entrepris sera donc confirmé, sur ce point également. La peine privative de liberté de substitution fixée à six jours par le premier juge, conforme à la loi, sera confirmée (art. 106 al. 2 CP).</w:t>
      </w:r>
    </w:p>
    <w:p>
      <w:r>
        <w:rPr>
          <w:b/>
        </w:rPr>
        <w:t>E. 6</w:t>
      </w:r>
    </w:p>
    <w:p>
      <w:r>
        <w:t>L'appelante, qui succombe, supportera les frais de la procédure envers l'État, comprenant un émolument de jugement réduit à CHF 200.-, pour tenir compte de sa situation financière précaire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