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P/21754/2021 vom 7. Oktober 2024</w:t>
      </w:r>
    </w:p>
    <w:p>
      <w:r>
        <w:t>GE Cour de justice, 2024-10-07, FR</w:t>
      </w:r>
    </w:p>
    <w:p>
      <w:r>
        <w:rPr>
          <w:b/>
        </w:rPr>
        <w:t xml:space="preserve">Quelle: </w:t>
      </w:r>
      <w:r>
        <w:t>https://mcp.opencaselaw.ch/entscheid/ge_gerichte_P_21754_2021</w:t>
      </w:r>
    </w:p>
    <w:p>
      <w:r>
        <w:t>FR: GE_GERICHTE P/21754/2021 du 7 octobre 2024</w:t>
      </w:r>
    </w:p>
    <w:p>
      <w:r>
        <w:t>IT: GE_GERICHTE P/21754/2021 del 7 ottobre 2024</w:t>
      </w:r>
    </w:p>
    <w:p>
      <w:pPr>
        <w:pStyle w:val="Heading2"/>
      </w:pPr>
      <w:r>
        <w:t>Regeste</w:t>
      </w:r>
    </w:p>
    <w:p>
      <w:r>
        <w:t>FIXATION DE LA PEINE | CP.41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L'infraction de détournement de valeurs patrimoniales mises sous main de justice est réprimée par une peine privative de liberté de trois ans au plus ou par une peine pécuniaire. 2.1.2.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2.1.3.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2.1.4.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w:t>
      </w:r>
    </w:p>
    <w:p>
      <w:r>
        <w:rPr>
          <w:b/>
        </w:rPr>
        <w:t>E. 2.2</w:t>
      </w:r>
    </w:p>
    <w:p>
      <w:r>
        <w:t>La culpabilité de l'appelante doit être qualifiée de moyenne. Le montant soustrait n'est pas faible (en ce sens : ATF 149 IV 273 consid. 1.5.9). En outre, jusqu'au prononcé du jugement entrepris, elle a fait preuve d'une désinvolture crasse dans le respect de la saisie imposée, dans la mesure où elle n'a même pas cherché à la respecter partiellement, démontrant par là un mépris certain pour les intérêts de ses créanciers, mais également pour l'autorité de l'État (cf. ATF 129 IV 68 consid. 2.1 ; 121 IV 353 consid. 2b). En revanche, sa motivation consistant à aider financièrement son enfant et à éviter une peine privative de liberté de substitution, en lien avec ses condamnations antérieures à des peines pécuniaires, ne peut être qualifiée de totalement égoïste, dès lors qu'outre le soutien à son enfant elle a voulu préserver sa capacité de gain et, partant, celle de réduire son endettement. Ses circonstances personnelles ne permettent que partiellement d'appréhender son acte, dans la mesure où la prévenue dispose d'un haut niveau d'éducation et est parfaitement intégrée dans la société ; elle aurait ainsi aisément pu quérir plus tôt l'aide d'un tiers spécialisé pour l'assister dans ses difficultés avec l'OP, ce qu'elle a uniquement fait suite à sa condamnation à une peine privative de liberté en première instance. Le jugement du TP a toutefois engendré chez l'appelante une prise de conscience marquée. Sa résipiscence est avancée ; elle a notamment réglé le solde de ses peines pécuniaires pendant la procédure d'appel et travaille toujours afin de désintéresser ses créanciers, malgré son âge notablement supérieur à celui de la retraite légale. Ses antécédents, nombreux et spécifiques, pèsent en sa défaveur. À l'inverse, le prononcé d'une peine privative de liberté mettrait, selon toute vraisemblance, fin à son activité professionnelle, ce qui nuirait médiatement aux créanciers que l'art. 169 CP vise justement à protéger. Au vu de ce qui précède, il convient de laisser une ultime chance à l'appelante, et d'écarter une peine privative de liberté au bénéfice d'une peine pécuniaire, laquelle ne peut pas encore être qualifiée d'inappropriée au regard de ses perspectives d'amendement et de la gravité de sa faute, étant rappelé qu'elle a désormais réglé ses peines pécuniaires antérieures. À l'aune de sa faute, la quotité de sa peine sera maintenue à 60 unités pénales. Dans la mesure où la prévenue bénéficie uniquement du minimum vital du droit des poursuites pour sa subsistance, le montant du jour-amende sera fixé à CHF 30.-. Au vu de ses nombreuses condamnations antérieures du chef de détournement de valeurs patrimoniales mises sous main de justice et de l'importance des poursuites encore à acquitter, son pronostic de récidive reste en l'état défavorable, ce qui exclut un sursis (art. 42 al. 1 CP a contrario). La défense ne soutient d'ailleurs pas le contraire. En conclusion, l'appelante sera condamnée à une peine pécuniaire ferme de 60 jours-amende à CHF 30.- le jour. L'appel est dans cette mesure admis.</w:t>
      </w:r>
    </w:p>
    <w:p>
      <w:r>
        <w:rPr>
          <w:b/>
        </w:rPr>
        <w:t>E. 3</w:t>
      </w:r>
    </w:p>
    <w:p>
      <w:r>
        <w:t>3.1.1.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3.1.2.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 du 4 mai 2023 consid. 3.1.4). Seul le résultat de la procédure d'appel elle-même est ainsi déterminant (ATF 142 IV 163 consid. 3.2.1). 3.2.1. La prévenue a été condamnée du chef pour laquelle elle était poursuivie. En outre, aucun acte d'instruction ne peut être qualifié d'inutile d'emblée. Il s'ensuit que rien ne justifie de s'écarter du jugement de première instance quant au sort des frais de la procédure préliminaire et de première instance. La condamnation de l'appelante à payer à l'État CHF 600.- à ce titre sera donc confirmée. 3.2.2. Devant la CPAR, l'appelante l'emporte sur le genre de peine mais échoue sur sa quotité. Dans ces circonstances la moitié des frais de la procédure d'appel, lesquels s'élèvent à CHF 2'035.-, y compris un émolument d'arrêt de CHF 1'200.-, sera mis à la charge de l'appelante et le solde à celle de l'État.</w:t>
      </w:r>
    </w:p>
    <w:p>
      <w:r>
        <w:rPr>
          <w:b/>
        </w:rPr>
        <w:t>E. 4</w:t>
      </w:r>
    </w:p>
    <w:p>
      <w:r>
        <w:t>Il est pris note de ce que l’appelante renonce à toute prétention fondée sur les art. 433 et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