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P/21753/2020 vom 15. September 2021</w:t>
      </w:r>
    </w:p>
    <w:p>
      <w:r>
        <w:t>GE Cour de justice, 2021-09-15, FR</w:t>
      </w:r>
    </w:p>
    <w:p>
      <w:r>
        <w:rPr>
          <w:b/>
        </w:rPr>
        <w:t xml:space="preserve">Quelle: </w:t>
      </w:r>
      <w:r>
        <w:t>https://mcp.opencaselaw.ch/entscheid/ge_gerichte_P_21753_2020</w:t>
      </w:r>
    </w:p>
    <w:p>
      <w:r>
        <w:t>FR: GE_GERICHTE P/21753/2020 du 15 septembre 2021</w:t>
      </w:r>
    </w:p>
    <w:p>
      <w:r>
        <w:t>IT: GE_GERICHTE P/21753/2020 del 15 settembre 2021</w:t>
      </w:r>
    </w:p>
    <w:p>
      <w:pPr>
        <w:pStyle w:val="Heading2"/>
      </w:pPr>
      <w:r>
        <w:t>Regeste</w:t>
      </w:r>
    </w:p>
    <w:p>
      <w:r>
        <w:t>SÉJOUR ILLÉGAL;NON-RESPECT D'UNE INTERDICTION DE PÉNÉTRER DANS UNE RÉGION DÉTERMINÉE;PEINE COMPLÉMENTAIRE;DÉDUCTION DES JOURS DE DÉTENTION AVANT JUGEMENT DANS UNE AUTRE PROCÉDURE | LEI.115.al1.letb; LEI.199.al1; CP.49; CP.51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Les infractions aux art. 19 al. 1 let. c LStup ainsi que 119 al. 1 LEI sont passibles d'une peine privative de liberté de trois ans ou d'une peine pécuniaire. L'infraction à l'art. 115 al. 1 let. b LEI est passible d'une peine privative de liberté d'un an ou d'une peine pécuniaire. Enfin, l'auteur d'infraction à l'art. 19a ch. 1 LStup est puni d'une amende.</w:t>
      </w:r>
    </w:p>
    <w:p>
      <w:r>
        <w:rPr>
          <w:b/>
        </w:rPr>
        <w:t>E. 2.2</w:t>
      </w:r>
    </w:p>
    <w:p>
      <w:r>
        <w:t>Le séjour illégal est un délit de durée, un délit continu.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 arrêt du Tribunal fédéral 6B_1003/2019 du 16 octobre 2019 consid. 1.1). 2.3.1.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2.3.2.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 4 ème éd., Bâle 2019, n. 130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2.3.3. Selon l'art. 41 al. 1 CP, le juge peut prononcer une peine privative de liberté à la place d'une peine pécuniaire si (a) une peine privative de liberté paraît justifiée pour détourner l'auteur d'autres crimes ou délits, ou si (b) il y a lieu de craindre qu'une peine pécuniaire ne puisse pas être exécutée. Il doit motiver le choix de la peine privative de liberté de manière circonstanciée (al. 2). 2.3.4. Selon l'art. 106 CP, l'amende, de même que la peine privative de liberté de substitution, doit être fixée en tenant compte de la situation de l'auteur afin que la peine corresponde à la faute commise (al. 3). A l'instar de toute autre peine, l'amende doit donc être fixée conformément à l'art. 47 CP (arrêts du Tribunal fédéral 6B_337/2015 du 5 juin 2015 consid. 4.1 ; 6B_988/2010 du 3 mars 2011 consid. 2.1 et 6B_264/2007 du 19 septembre 2007 consid. 4.5). 2.3.5.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 Si les sanctions envisagées concrètement ne sont pas du même genre, elles doivent être prononcées cumulativement (ATF 144 IV 313 consid. 1.1.1 p. 316). Lorsque plusieurs contraventions entrent en concours parfait, l'amende doit être augmentée conformément à l'art. 49 al. 1 CP (arrêt 6B_65/2009 du 13 juillet 2009 consid. 1.4, résumé in forumpoenale 2010, p. 66). 2.3.6.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142 IV 265 consid. 2.3.3 p. 268 = JdT 2017 IV 129 ; 141 IV 61 consid. 6.1.2 p. 67). Pour fixer la peine complémentaire, le juge doit estimer la peine globale de l'auteur, comme s'il devait apprécier en même temps l'ensemble des faits (ceux du premier jugement et ceux du jugement actuel). Il ne peut toutefois pas revoir la peine de base, à savoir celle du premier jugement, même s'il estime que les premiers faits justifiaient une peine plus sévère ou moins sévère. Dans le cas contraire, il enfreindrait l'autorité de chose jugée de la première décision. La fixation d'une peine d'ensemble n'est en outre pas possible en cas de sanctions de genre différent (ATF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 in LawInside, 31 août 2016, http://www.lawinside.ch/304/ [08.09.21]). Si la peine de base contient l'infraction la plus grave, il faut alors l'augmenter au regard des faits nouveaux. Pour obtenir la peine complémentaire, le juge doit ainsi déduire la peine de base de la peine globale (ATF 142 IV 265 consid. 2.4.4 = JdT 2017 IV 129 ; AARP/467/2016 du 18 novembre 2016 consid. 3.3.2). 2.3.7. A teneur de l'art. 51 CP, le juge impute sur la peine la détention avant jugement subie par l'auteur dans le cadre de l'affaire qui vient d'être jugée ou d'une autre procédure.</w:t>
      </w:r>
    </w:p>
    <w:p>
      <w:r>
        <w:rPr>
          <w:b/>
        </w:rPr>
        <w:t>E. 2.4</w:t>
      </w:r>
    </w:p>
    <w:p>
      <w:r>
        <w:t>En l'espèce, la faute de l'appelant relative à l'entrée dans le canton de Genève en dépit d'une interdiction ainsi que la vente d'un peu plus de 10 grammes de cocaïne à C______ entre l'été 2020 et le 16 janvier 2021, est conséquente. Son mobile relève de son simple agrément de demeurer sur le territoire pour ce qui est des infractions à la législation sur les étrangers et de l'appât du gain facile s'agissant de la vente de stupéfiants, sans considération pour la santé des consommateurs. Sa collaboration ne peut être qualifiée de bonne. S'il a, pour l'essentiel, en définitive reconnu les faits qui lui étaient reprochés, il pouvait difficilement en aller autrement compte tenu des circonstances de ses interpellations. Il a pour le surplus varié dans ses déclarations en cours de procédure s'agissant de la marijuana et des nombreux numéros de téléphone retrouvés au studio perquisitionné ainsi que concernant les sommes d'argent en sa possession lors de ses différentes interpellations. La situation personnelle de l'appelant explique en partie ses actes mais ne les justifie en aucun cas. Sa prise de conscience est inexistante, dès lors qu'il persiste dans ses comportements illégaux en dépit des quatre condamnations prononcées à son encontre depuis 2016 pour des infractions similaires. Sa condamnation du 10 juin 2021 pour la période du 21 février au 18 mars 2021 montre par ailleurs que l'appelant est resté en Suisse après son arrestation dans la présente procédure, ce qui dénote l'indifférence totale de ce dernier par rapport aux différentes interpellations et sanctions dont il a fait l'objet. Son projet de quitter la Suisse pour rejoindre son pays d'origine ne suffit pas à anéantir le risque concret de récidive, vu le nombre important de délits commis sur une période sensiblement brève. Aucune circonstance atténuante n'est réalisée, ni d'ailleurs plaidée. Dans cette configuration, c'est à juste titre que le premier juge a considéré que seule une peine privative de liberté paraissait de nature à remplir son rôle de prévention spéciale s'agissant des infractions aux art. 19 al. 1 let. c LStup et 119 al. 1 LEI. De surcroît, l'appelant ne pourra vraisemblablement pas s'acquitter d'une peine pécuniaire, étant dépourvu de revenu. L'appelant ne conteste du reste plus le genre de peine. Les mêmes conclusions prévalent s'agissant des séjours illégaux, sanctionnés par l'art. 115 al. 1 let. b LEI, qui entrent en concours avec les délits précités. Ces infractions ayant été commises entre l'été 2020 et le 19 février 2021, soit avant le jugement du TP du 10 juin 2021, condamnant notamment l'appelant à une peine privative de liberté de 60 jours pour séjour illégal (art. 115 al. 1 let. b LEI) et non-respect d'une assignation à un lieu de résidence ou interdiction de pénétrer dans une région déterminée (art. 119 al. 1 LEI), il convient de fixer une peine complémentaire dans la présente procédure. La peine privative de liberté pour l'infraction la plus grave (trafic de stupéfiants – objet de la présente) sera fixée à 90 jours. Il convient d'étendre cette peine au minimum à 105 jours (peine hypothétique de 30 jours) pour le non-respect d'une interdiction de pénétrer dans une région déterminée, puis à 120 jours (peine hypothétique de 30 jours) pour tenir compte des séjours illégaux de l'appelant. La peine prononcée par le TP pour les faits objets de la présente procédure ne prête ainsi pas le flanc à la critique. Une peine complémentaire est cependant à prononcer. Si les faits issus de la présente procédure avaient été jugés en même temps que ceux concernés par la condamnation du 10 juin 2021, la peine privative de liberté globale aurait été de 150 jours (peines hypothétiques de 30 jours chacune pour le séjour illégal et le non-respect d'une assignation à un lieu de résidence ou interdiction de pénétrer dans une région déterminée), d'où le prononcé d'une peine privative de liberté complémentaire de 90 jours. Pour le surplus, les conditions du sursis (art. 42 CP), auquel l'appelant ne conclut d'ailleurs à juste titre pas, ne sont manifestement pas remplies, compte tenu en particulier de ses antécédents spécifiques. L'appelant sera ainsi condamné à une peine privative de liberté de 90 jours, sous déduction de 28 jours de détention avant jugement (art. 40 et 51 CP). L'appel sera donc très partiellement admis. Enfin, s'agissant de l'amende – non contestée par l'appelant – en lien avec la consommation de stupéfiants, il convient de prononcer une amende de CHF 50.-, celle-ci étant complémentaire à celle prononcée le 10 juin 2021. Une peine privative de liberté de substitution d'un jour (art. 42 al. 4 et 106 al. 2 et 3 CP) sera prononcée. Le jugement sera également réformé sur ce point.</w:t>
      </w:r>
    </w:p>
    <w:p>
      <w:r>
        <w:rPr>
          <w:b/>
        </w:rPr>
        <w:t>E. 3</w:t>
      </w:r>
    </w:p>
    <w:p>
      <w:r>
        <w:t>3.1.1.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3.1.2. Néanmoins, l'art. 428 al. 2 let. a CPP prévoit que lorsqu'une partie qui interjette un recours obtient une décision qui lui est plus favorable, les frais de la procédure peuvent être mis à sa charge notamment si les conditions qui lui ont permis d'obtenir gain de cause n'ont été réalisées que dans la procédure de recours. 3.2.1. En l'occurrence, il n'y a pas lieu de revoir les frais de la procédure de première instance, dès lors que l'appelant est reconnu coupable, pour la grande majorité, des faits qui lui sont reprochés, étant précisé que l'acquittement partiel du chef d'entrée illégale en première instance est sans effet sur la question de la répartition des frais devant le TP puisque l'instruction a porté exactement sur les mêmes faits s'agissant de l'examen des différentes infractions à la LEI (art. 426 al. 1 et 428 al. 3 CPP). 3.2.2. En appel, il a été retenu que la peine prononcée par le TP pour les faits objets de la présente procédure n'était pas critiquable. Le jugement doit néanmoins être réformé en raison de celui intervenu le 10 juin 2021 rendu dans la procédure P/2______/2020, lequel a une incidence sur le nombre de jours à déduire au titre de la détention préventive subie et impose le prononcé d'une peine complémentaire dans la présente procédure. Cette décision a d'ailleurs conduit l'appelant à modifier ses conclusions d'appel. Il apparaît ainsi que les conditions lui permettant d'obtenir une décision plus favorable n'ont été réalisées que postérieurement à son appel. Il convient dès lors de condamner l'appelant à la totalité des frais de la procédure d'appel, y compris l'émolument complémentaire de jugement fixé par le TP.</w:t>
      </w:r>
    </w:p>
    <w:p>
      <w:r>
        <w:rPr>
          <w:b/>
        </w:rPr>
        <w:t>E. 4</w:t>
      </w:r>
    </w:p>
    <w:p>
      <w:r>
        <w:t>Considéré globalement, l'état de frais produit par M e B______, défenseure d'office de l'appelant, satisfait les exigences légales et jurisprudentielles régissant l'assistance judiciaire gratuite en matière pénale. Il convient cependant de le compléter par le forfait alloué pour la rédaction des courriers . La rémunération de M e B______ sera partant arrêtée à CHF 193.90, correspondant à 45 minutes d'activité au tarif de CHF 200.-/heure (CHF 150.-), plus la majoration forfaitaire de 20% (CHF 30.-) et l'équivalent de la TVA au taux de 7.7%, en CHF 13.90.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