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P/21700/2021 vom 23. Mai 2024</w:t>
      </w:r>
    </w:p>
    <w:p>
      <w:r>
        <w:t>GE Cour de justice, 2024-05-23, FR</w:t>
      </w:r>
    </w:p>
    <w:p>
      <w:r>
        <w:rPr>
          <w:b/>
        </w:rPr>
        <w:t xml:space="preserve">Quelle: </w:t>
      </w:r>
      <w:r>
        <w:t>https://mcp.opencaselaw.ch/entscheid/ge_gerichte_P_21700_2021</w:t>
      </w:r>
    </w:p>
    <w:p>
      <w:r>
        <w:t>FR: GE_GERICHTE P/21700/2021 du 23 mai 2024</w:t>
      </w:r>
    </w:p>
    <w:p>
      <w:r>
        <w:t>IT: GE_GERICHTE P/21700/2021 del 23 maggio 2024</w:t>
      </w:r>
    </w:p>
    <w:p>
      <w:pPr>
        <w:pStyle w:val="Heading2"/>
      </w:pPr>
      <w:r>
        <w:t>Regeste</w:t>
      </w:r>
    </w:p>
    <w:p>
      <w:r>
        <w:t>INTÉRÊT JURIDIQUEMENT PROTÉGÉ;LÉSÉ;ORDONNANCE DE NON-ENTRÉE EN MATIÈRE;ESCROQUERIE | CP.146; CPP.115; CPP.310; CPP.118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2.2.1.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juridiquement protégé par la disposition pénale qui a été enfreinte (ATF 143 IV 77 consid. 2.2; 141 IV 454 consid. 2.3.1). Lorsqu'une infraction est perpétrée au détriment du patrimoine d'une personne morale, seule celle-ci subit un dommage et peut donc prétendre à la qualité de lésée (ATF 141 IV 380 consid. 2.3.3). 2.2.2. En l'espèce, en tant que le recourant reproche au mis en cause de s'être octroyé des rémunérations exagérées et d'avoir utilisé des fonds de C______ SA pour des dépenses privées, son recours est irrecevable, seule la société ayant la qualité de lésée. Le recours est pour le surplus recevable, le recourant ayant un intérêt juridiquement protégé à la modification ou à l'annulation de la décision querellée.</w:t>
      </w:r>
    </w:p>
    <w:p>
      <w:r>
        <w:rPr>
          <w:b/>
        </w:rPr>
        <w:t>E. 3</w:t>
      </w:r>
    </w:p>
    <w:p>
      <w:r>
        <w:t>Le recourant considère que dans la mesure où B______ a été entendu par la police en tant que prévenu, le Ministère public n'était plus en mesure de rendre une décision de non-entrée en matière.</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(arrêt du Tribunal fédéral 1B_368/2012 du 13 mai 2013 consid. 3.2; L. MOREILLON / A. PAREIN-REYMOND, Petit commentaire CPP , Bâle 2016, n. 4 ad art. 310).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Les informations recueillies à cette occasion lui permettront de décider de la suite qu'il convient de donner à la procédure (arrêt du Tribunal fédéral 6B_290/2020 du 17 juillet 2020 consid. 2.2).</w:t>
      </w:r>
    </w:p>
    <w:p>
      <w:r>
        <w:rPr>
          <w:b/>
        </w:rPr>
        <w:t>E. 3.2</w:t>
      </w:r>
    </w:p>
    <w:p>
      <w:r>
        <w:t>En l'espèce, l'audition du mis en cause a été effectuée dans le cadre des investigations policières, sans qu'une instruction n'ait été ouverte. Dans ces circonstances, la procédure n'a pas dépassé le stade des premières investigations, ce qui permettait au Ministère public de rendre une ordonnance de non-entrée en matière. Pour le surplus, le recourant a pu faire valoir devant la Chambre de céans les arguments qu'il estimait pertinents, en particulier ses déterminations sur l'audition du mis en cause et les actes d'instruction sollicités. Son grief sera dès lors rejeté.</w:t>
      </w:r>
    </w:p>
    <w:p>
      <w:r>
        <w:rPr>
          <w:b/>
        </w:rPr>
        <w:t>E. 4</w:t>
      </w:r>
    </w:p>
    <w:p>
      <w:r>
        <w:t>Le recourant reproche au Ministère public de ne pas être entré en matière sur sa plainte.</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de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et 137 IV 219 consid. 7).</w:t>
      </w:r>
    </w:p>
    <w:p>
      <w:r>
        <w:rPr>
          <w:b/>
        </w:rPr>
        <w:t>E. 4.2</w:t>
      </w:r>
    </w:p>
    <w:p>
      <w:r>
        <w:t>À teneur de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magistrat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(ATF 136 I 229 consid. 5.3).</w:t>
      </w:r>
    </w:p>
    <w:p>
      <w:r>
        <w:rPr>
          <w:b/>
        </w:rPr>
        <w:t>E. 4.3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Quant au troisième comportement prévu par la loi, il se distingue des deux précédents en ce sens que l'erreur est préexistante (arrêt du Tribunal fédéral 6B_718/2018 du 15 mars 2019 consid. 4.3.1).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w:t>
      </w:r>
    </w:p>
    <w:p>
      <w:r>
        <w:rPr>
          <w:b/>
        </w:rPr>
        <w:t>E. 4.4</w:t>
      </w:r>
    </w:p>
    <w:p>
      <w:r>
        <w:t>En l'espèce, le recourant reproche au mis en cause de lui avoir dissimulé la situation financière de C______ SA – ce qui est contesté par ce dernier – pour l'amener à signer les actes de cautionnement du 1 er juillet 2016 et à investir dans E______ SA. Or, d'après le ch. 1 du second acte authentique du 1 er juillet 2016 (cf. supra B.d. ) – dont il n'y a pas lieu de douter de l'authenticité –, le recourant avait connaissance de la situation financière de la société précitée. Il ressort par ailleurs des procès-verbaux des séances des organes des E______ SA, signés par tous les protagonistes, que l'état des comptes de C______ leur avait été présenté et que le recourant – s'opposant à l'arrêt de l'exploitation – avait proposé des solutions pour assainir la société. Bien que le précité affirme – pour la première fois dans son recours – que lesdits procès-verbaux auraient été préétablis et que le mis en cause l'aurait obligé à les signer "à la sauvette" , il ne soutient pas – ni a fortiori ne démontre – qu'il s'agirait de documents au contenu inexact. Force est dès lors de constater que le recourant ne peut pas soutenir n'avoir pas eu connaissance, et ce, dès la signature des actes de cautionnement du 1 er juillet 2016, de l'activité et de la situation financière de C______ SA. Quoi qu'il en soit, l'on ne saurait retenir que le recourant aurait été dissuadé par le mis en cause de vérifier certaines informations. Il ressort en effet du procès-verbal de son interrogatoire devant l'Office des faillites que la comptabilité de C______ SA – représentant cinq classeurs par an – se trouvait dans les locaux de la société. Même à admettre – comme le soutient le recourant dans son acte de recours – que les documents évoqués dans ledit procès-verbal n'étaient pas exhaustifs, le précité ne soutient pas qu'il lui aurait été impossible de se faire une idée précise sur la situation financière de C______ SA. Au regard des arguments développés ci-dessus, les actes d'instruction sollicités ne seraient pas probants, de sorte que l'appréciation anticipée des preuves opérée par le Ministère public n'était nullement arbitraire. Dans ces conditions, c'est à juste titre que cette autorité a considéré qu'il n'existait pas de soupçons suffisants de la commission d'une escroquerie pour justifier l'ouverture d'une instruction.</w:t>
      </w:r>
    </w:p>
    <w:p>
      <w:r>
        <w:rPr>
          <w:b/>
        </w:rPr>
        <w:t>E. 5</w:t>
      </w:r>
    </w:p>
    <w:p>
      <w:r>
        <w:t>Justifiée, l'ordonnance querellée sera donc confirmée.</w:t>
      </w:r>
    </w:p>
    <w:p>
      <w:r>
        <w:rPr>
          <w:b/>
        </w:rPr>
        <w:t>E. 6</w:t>
      </w:r>
    </w:p>
    <w:p>
      <w:r>
        <w:t>Le recourant, qui succombe, supportera les frais envers l'État, fixés en intégralité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