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P/21695/2018 vom 2. Mai 2019</w:t>
      </w:r>
    </w:p>
    <w:p>
      <w:r>
        <w:t>GE Cour de justice, 2019-05-02, FR</w:t>
      </w:r>
    </w:p>
    <w:p>
      <w:r>
        <w:rPr>
          <w:b/>
        </w:rPr>
        <w:t xml:space="preserve">Quelle: </w:t>
      </w:r>
      <w:r>
        <w:t>https://mcp.opencaselaw.ch/entscheid/ge_gerichte_P_21695_2018</w:t>
      </w:r>
    </w:p>
    <w:p>
      <w:r>
        <w:t>FR: GE_GERICHTE P/21695/2018 du 2 mai 2019</w:t>
      </w:r>
    </w:p>
    <w:p>
      <w:r>
        <w:t>IT: GE_GERICHTE P/21695/2018 del 2 maggio 2019</w:t>
      </w:r>
    </w:p>
    <w:p>
      <w:pPr>
        <w:pStyle w:val="Heading2"/>
      </w:pPr>
      <w:r>
        <w:t>Regeste</w:t>
      </w:r>
    </w:p>
    <w:p>
      <w:r>
        <w:t>INJURE ; VIOLENCE CONTRE LES AUTORITÉS ; DISPOSITIONS PÉNALES DE LA LSTUP ; CONCOURS D'INFRACTIONS ; PEINE COMPLÉMENTAIRE ; EXPULSION(DROIT PÉNAL) | CP.285; LEI.115; LStup.19.al1; CP.177; CP.49; CP.66abis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Il s'agit d'une Kann-Vorschrift (G. MÜNCH / F. DE WECK, Die neue Landesverweisung, in Art. 66a ff. StGB ,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2</w:t>
      </w:r>
    </w:p>
    <w:p>
      <w:r>
        <w:t>.1.2. L'art. 285 ch. 1 al.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2.1.3. L'art. 19 al. 1 let. d LStup punit celui qui, sans droit, possède, détient ou acquiert des stupéfiants ou s'en procure de toute autre manière. La détention implique la maîtrise de fait sur la drogue et la volonté de l'exercer. Celui qui est en mesure de récupérer des stupéfiants à tout moment et d'en disposer et qui manifeste la volonté d'en garder la maîtrise possède illicitement ces stupéfiants (C. FAVRE / M. PELLET / P. STOUDMANN [éds], Droit pénal accessoire : code annoté de la jurisprudence fédérale et cantonale : DPA, LEtr, LFAIE, LCD, LFMG, LArm, LIFD, LPA, LEaux, LChP, LAVS, LStup, LLP , Lausanne  2018, n° 1.22 ad art. 19 LStup). 2.1.4. L'art 115 al. 1 let. a LEI punit pour entrée illégale quiconque contrevient aux dispositions sur l'entrée en Suisse (art. 5 LEI). 2.1.5. Se rend coupable d'injure celui qui aura, par la parole, l'écriture, l'image, le geste ou par des voies de fait, attaqué autrui dans son honneur (art. 177 al. 1 CP). 2.2.1. En l'espèce, s'agissant des entrées illégales reprochées, l'appelant a confirmé devant la Cour qu'il vivait à K______ pendant la période concernée et il est établi qu'il a été contrôlé à Genève le 10 mars et le 17 mai 2018. Les éléments constitutifs de l'infraction à l'art. 115 al. 1 let. a LEI n'étant pour le surplus - à juste titre - pas contestées, le jugement entrepris sera confirmé sur ce point. 2.2.2. En ce qui concerne les faits du 10 mars 2018, constitutifs selon l'accusation d'infractions aux art. 285 ch. 1 al. 1 CP, 19 al. 1 let d LStup et 177 CP, l'appelant a soutenu de manière constante faire l'objet d'une erreur sur la personne. Il est cependant contredit par les témoignages des policiers, qu'il n'y a pas de motif de remettre en cause, qui l'ont reconnu et qui ont décrit de manière concordante le déroulement de leur intervention. D______ n'a pas caché avoir perdu de vue l'homme qu'il poursuivait, mais on ne voit pas quel pourrait avoir été son mobile de s'élancer ensuite à la poursuite d'une tierce personne étrangère aux faits précédemment constatés. D'autre part, on peine à comprendre pour quelle raison, dans cette hypothèse l'appelant aurait pris la fuite lorsque D______ l'a retrouvé puis se serait caché lorsque G______ l'a rejoint, étant rappelé qu'il a fait l'objet le 17 mai 2018 d'un contrôle d'identité auquel il ne s'est apparemment pas dérobé. L'appelant admet en fin de compte devant la Cour que le policier qui a procédé à son menottage lui a effectivement dit "STOP POLICE", alors qu'il avait contesté à plusieurs reprises pendant la procédure que cette injonction lui ait jamais été donnée, ce qui entame sa crédibilité. Enfin et contrairement à ce qui a été plaidé, un sac à dos " contenant des effets personnels " figure bien à son dépôt du 10 mars 2018. Le fait que le couteau (ou la lame) aperçue par D______ n'ait pas été retrouvé par le chien de police engagé ne suffit pas à renverser le faisceau d'indices qui accable l'appelant. Il découle de ce qui précède qu'il doit être considéré comme établi que l'appelant détenait bien de la marijuana le jour de son arrestation, dont il s'est débarrassé dans sa fuite. L'injure est établie par les déclarations de D______ confirmées en audience de confrontation, G______ ayant quant à lui témoigné que l'appelant s'était montré agressif envers le plaignant. La décision du premier juge sera par conséquent également confirmée s'agissant des faits du 10 mars 2018. 2.2.3. En ce qui concerne les faits du 3 novembre 2018, constitutifs selon l'accusation d'infractions aux art. 285 ch. 1 CP et 19 al. 1 LStup, l'appelant ne conteste pas avoir suivi C______. Après avoir nié toute agressivité à son encontre, il a reconnu devant le Cour qu'il avait eu des gestes qui avaient pu être mal interprétés par le plaignant. Il a de même admis au fil de la procédure que ce dernier s'était légitimé alors qu'il l'avait nié lors de sa première audition devant le MP. Cette évolution dans ses déclarations tend à confirmer la version du policier, qui a lui été constant dans ses explications. Celles-ci doivent par conséquent être considérées comme reflétant les faits tels qu'ils se sont déroulés, et ce même en l'absence d'images de vidéo-surveillance. Le fait que l'appelant ait suivi le plaignant ne peut se comprendre que comme la volonté de garder ou récupérer la maîtrise sur les stupéfiants saisis par le policier, cas échéant de concert ou en co-maîtrise avec leur " propriétaire ". L'appelant ne le conteste en réalité pas puisqu'il admet avoir suivi le plaignant " parce qu'il avait pris le sac ". L'appelant déclare également être allé se servir directement dans la poubelle, ce qui paraît incongru pour un simple consommateur, même avec l'accord du propriétaire de la drogue. Il y a dès lors lieu de confirmer le verdict prononcé par le premier juge s'agissant de l'infraction à la loi sur les stupéfiants. En revanche, les circonstances particulières de l'intervention du policier qui, seul et en civil, s'est emparé de la drogue fortuitement découverte, ont effectivement pu induire l'appelant en erreur. Il y a lieu de relever que s'il n'était évidemment pas envisageable pour le policier d'interpeller seul deux individus, il devait évidemment néanmoins procéder à la saisie de la drogue. Le sous-entendu, émis a posteriori par l'appelant, selon lequel le policier voulait en réalité garder les stupéfiants pour lui doit ainsi être fermement écarté. Cela étant, les apparences, même une fois les injonctions d'usage proférées, pouvaient être trompeuses. Il aurait en effet été peu sensé de la part de l'appelant de poursuivre en connaissance de cause un policier pour tenter de récupérer des stupéfiants, ce qui évidemment l'incriminait. En conclusion, l'appelant sera acquitté de l'infraction à l'art. 285 CP s'agissant des faits du 3 novembre 2018 et le jugement sera confirmé pour le surplus s'agissant de sa culpabilité.</w:t>
      </w:r>
    </w:p>
    <w:p>
      <w:r>
        <w:rPr>
          <w:b/>
        </w:rPr>
        <w:t>E. 3.1</w:t>
      </w:r>
    </w:p>
    <w:p>
      <w:r>
        <w:t>La peine menace des art. 285 CP et 19 al. 1 LStup est une peine privative de liberté trois ans au plus ou peine pécuniaire, celle de l'art. 115 al. 1 LEI est une peine privative de liberté d'un an au plus ou d'une peine pécuniaire. La peine menace de l'art. 177 CP est une peine pécuniaire 90 jours-amende et celle de l'art. 19a LStup est l'amende.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danvc 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3.2.2.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 3.2.3.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ATF 127 IV 101 consid. 2b p. 104 ; ATF 116 IV 300 consid. 2c/dd p. 305 ; arrêt du Tribunal fédéral 6B_1216/2017 du 11 juin 2018 consid. 1.1.1), en tenant là aussi compte de toutes les circonstances y relatives (arrêts du Tribunal fédéral 6B_1175/2017 du 11 avril 2018 consid. 2.1 in medio ; 6B_688/2014 du 22 décembre 2017 consid. 27.2.1). 3.2.4.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Pour déterminer si le tribunal doit prononcer une peine complémentaire, il convient de se référer à la date du jugement antérieur, indépendamment de la date d'un éventuel arrêt sur appel ultérieur (ATF 138 IV 113 consid. 3.4.1 et 3.4.2 ; ATF 129 IV 113 consid. 1.1 et 1.2; R. ROTH / L. MOREILLON [éds], Code pénal I: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ATF 129 IV 113 consid. 1.3; ATF 109 IV 87 consid. 2a ; ATF 102 IV 242 consid. II.4.a).</w:t>
      </w:r>
    </w:p>
    <w:p>
      <w:r>
        <w:rPr>
          <w:b/>
        </w:rPr>
        <w:t>E. 3.3</w:t>
      </w:r>
    </w:p>
    <w:p>
      <w:r>
        <w:t>En l'espèce, la faute de l'appelant n'est pas légère. Il a été, dans le cadre de la présente procédure, contrôlé à deux reprises en possession de stupéfiants, la seconde fois alors qu'il avait fait opposition à l'ordonnance de condamnation concernant les faits du 10 mars 2018 et qu'une procédure était ainsi en cours. Il a continué à rester activement en contact avec le milieu des stupéfiants bien qu'il avait déjà été condamné à deux puis trois reprises pour délit contre la LStup, démontrant ainsi une incapacité à tenir compte des précédentes condamnations prononcées à son encontre. Il en va de même pour les infractions à la législation sur les étrangers. Il a en outre tenté de se soustraire à son arrestation le 10 mars 2018, avant d'injurier un des policiers intervenus. Ses mobiles relèvent de l'appât du gain facile s'agissant des infractions en matière de stupéfiants, et de façon plus générale de mépris pour la législation en vigueur. Sa collaboration ne peut être considérée comme bonne, au vu notamment de ses dénégations persistantes en relation avec la détention de stupéfiants. Il n'exprime guère de prise de conscience. Ses antécédents ne sont pas bons, il a déjà bénéficié d'une libération conditionnelle qui a dû être révoquée. Le concours d'infraction impose une aggravation de la peine correspondant à l'infraction la plus grave. Au vu de ce qui précède, l'appelant sera condamné à une peine privative de liberté de 6 mois pour infraction aux art. 285 ch. 1 al. 1 CP, 115 al. 1 let a et b LEI et 19 al. 1 let. d LStup, peine complémentaire à celle prononcée dans l'arrêt de la Cour du 11 octobre 2018 qui faisait suite à un jugement du 4 juin 2018. Cette peine ne sera pas assortie d'un sursis, à juste titre non plaidé. S'agissant de la peine pécuniaire de 20 jours-amende à CHF 10.- l'unité prononcée en lien avec la condamnation pour injure, de même que de l'amende de CHF 100.- prononcée pour la consommation de cannabis, elles seront confirmées et il sera renvoyé à ce propos à l'appréciation du premier juge.</w:t>
      </w:r>
    </w:p>
    <w:p>
      <w:r>
        <w:rPr>
          <w:b/>
        </w:rPr>
        <w:t>E. 3.4</w:t>
      </w:r>
    </w:p>
    <w:p>
      <w:r>
        <w:t>En application de l'art. 51 CP, les jours de privation de liberté purgés par l'appelant excédant la peine privative de liberté prononcée en appel seront imputés en premier lieu sur la peine pécuniaire confirmée de 20 jours-amende, un jour de détention correspond à un jour-amende en vertu de l'art. 51 2ème phr. CP.</w:t>
      </w:r>
    </w:p>
    <w:p>
      <w:r>
        <w:rPr>
          <w:b/>
        </w:rPr>
        <w:t>E. 4</w:t>
      </w:r>
    </w:p>
    <w:p>
      <w:r>
        <w:t>2. En l'espèce, l'appelant a déjà été condamné à cinq reprises depuis octobre 2015 pour des faits largement similaires. Il est désormais condamné pour deux nouveaux complexes de faits. Il apparait dès lors durablement installé dans la délinquance. Alors qu'il faisait l'objet d'une procédure en cours, cela ne l'a pas dissuadé de récidiver et le pronostic quant à son comportement futur ne peut être que sombre. La durée de sa présence en Suisse, limitée, n'a jamais été autorisée. Si sa relation sentimentale est établie, elle est récente et sa faible maîtrise du français ne permettent certainement pas de retenir qu'il est intégré en Suisse, ce d'autant plus qu'il fait l'objet d'une interdiction d'entrée pour une durée de cinq ans. Il n'a en tout état que de très faibles perspectives d'intégration professionnelles. Toutes ses attaches familiales sont au Sénégal, pays dans lequel la possibilité d'une réintégration paraît bonne. Ainsi, le comportement de l'appelant, ses antécédents et le pronostic posé justifient le prononcé à son encontre d'une expulsion. La durée de l'expulsion fixée par le premier juge au minimum légal de trois ans est adéquate et sera, partant, confirmée.</w:t>
      </w:r>
    </w:p>
    <w:p>
      <w:r>
        <w:rPr>
          <w:b/>
        </w:rPr>
        <w:t>E. 5</w:t>
      </w:r>
    </w:p>
    <w:p>
      <w:r>
        <w:t>Compte tenu de la peine prononcée et de l'imputation prévue par l'art. 51 CP, il n'y a pas matière à indemnisation basée sur l'art. 429 CPP.</w:t>
      </w:r>
    </w:p>
    <w:p>
      <w:r>
        <w:rPr>
          <w:b/>
        </w:rPr>
        <w:t>E. 6</w:t>
      </w:r>
    </w:p>
    <w:p>
      <w:r>
        <w:t>L'appelant, qui succombe très largement, supportera les 7/8ème des frais de la procédure envers l'État (art. 428 CPP).</w:t>
      </w:r>
    </w:p>
    <w:p>
      <w:r>
        <w:rPr>
          <w:b/>
        </w:rPr>
        <w:t>E. 7</w:t>
      </w:r>
    </w:p>
    <w:p>
      <w:r>
        <w:t>Considéré globalement, l'état de frais produit par le défenseur d'office de l'appelant paraît adéquat et conforme aux dispositions et principes régissant l'assistance judiciaire pénale. Sa rémunération sera ainsi arrêtée à CHF 1'125.45 pour quatre heures 15 d'activité au tarif de CHF 200.-/heure, plus CHF 100.- pour une vacation , plus la majoration forfaitaire de 10% compte tenu de l'activité de première instance déjà rémunérée, et l'équivalent de la TVA au taux de 7.7% en CHF 80.45.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