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P/21690/2014 vom 9. Juli 2019</w:t>
      </w:r>
    </w:p>
    <w:p>
      <w:r>
        <w:t>GE Cour de justice, 2019-07-09, FR</w:t>
      </w:r>
    </w:p>
    <w:p>
      <w:r>
        <w:rPr>
          <w:b/>
        </w:rPr>
        <w:t xml:space="preserve">Quelle: </w:t>
      </w:r>
      <w:r>
        <w:t>https://mcp.opencaselaw.ch/entscheid/ge_gerichte_P_21690_2014</w:t>
      </w:r>
    </w:p>
    <w:p>
      <w:r>
        <w:t>FR: GE_GERICHTE P/21690/2014 du 9 juillet 2019</w:t>
      </w:r>
    </w:p>
    <w:p>
      <w:r>
        <w:t>IT: GE_GERICHTE P/21690/2014 del 9 luglio 2019</w:t>
      </w:r>
    </w:p>
    <w:p>
      <w:pPr>
        <w:pStyle w:val="Heading2"/>
      </w:pPr>
      <w:r>
        <w:t>Regeste</w:t>
      </w:r>
    </w:p>
    <w:p>
      <w:r>
        <w:t>RISQUE DE RÉCIDIVE ; MESURE DE SUBSTITUTION À LA DÉTENTION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en ne s'exprimant pas sur les charges, paraît admettre leur caractère suffisant et grave, au sens de l'art. 221 al. 1 1 ère phrase CPP, bien qu'il conteste les faits. Quoi qu'il en soit, les pièces au dossier - notamment le faux certificat de décès et les certificats médicaux d'un médecin français, " Dr M______ ", qui n'existe pas - et les éléments retrouvés dans l'appartement genevois du recourant, en particulier le dossier de la procédure civile C/9______/2017, les nombreux tampons humides, les documents paraissant falsifiés, les remboursements de l'assurance maladie sur la base de documents douteux et les dénonciations pénales contre le propriétaire de son logement sont en l'état largement suffisants pour retenir de forts soupçons à l'égard du recourant pour tous les faits qui lui sont reprochés. Le dépôt de plaintes pénales et de demandes de récusation contre le Procureur chargé de la procédure n'est pas, en soi, de nature à rendre infondée une mise en détention, au demeurant ordonnée par le TMC.</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la présente procédure a été ouverte, comme le relève d'ailleurs le recourant, en 2014. Dans la procédure parallèle, P/1______/2009, ouverte en 2009, le recourant a été jugé par défaut en 2013 mais depuis, en raison de ses nombreux refus de comparaître - allant jusqu'à se faire passer pour mort -, et dépôts de certificats médicaux dont plusieurs paraissent faux, le recourant a empêché son avancement. Il a même empêché que soit établie l'expertise psychiatrique ordonnée par le Ministère public sur demande de la CPAR. L'écoulement du temps depuis l'ouverture de la présente procédure n'est donc pas de nature à rendre inexistant tout risque de collusion. Au contraire. Compte tenu des manoeuvres que le recourant a déployées ces dernières années dans les procédures dirigées contre lui, tant pénales que civile - n'hésitant pas à dérober le dossier de la procédure C/9______/2017 à la Chambre des baux et loyers de la Cour de justice -, il existe un risque très concret que, s'il venait à être libéré dans la présente procédure, le recourant fasse disparaître des preuves ou prenne contact avec des témoins - en particulier les médecins auxquels il a demandé des attestations médicales pour ne pas comparaître, les médecins dont il paraît avoir falsifié les factures pour être remboursé par l'assurance maladie, les employés des diverses administrations auxquels il a sollicité des prestations et par lesquels il a obtenu des inscription à l'état civil, notamment celle de son faux jumeau -, voire produise des faux certificats et documents pour entraver les autorités de poursuite pénale dans leur instruction. Il sera également relevé que des éléments nouveaux sont apparus à la suite des perquisitions menées dans ses deux logements, notamment l'existence de relations bancaires dans d'autres cantons. Comme le recourant ne précise pas la source de ses revenus, l'instruction devra porter sur sa situation financière sans qu'il n'interfère dans la manifestation de la vérité, en faisant disparaître des documents ou des sommes d'argent cachés dans des lieux que l'analyse des pièces saisies pourrait révéler. Le grief est dès lors infondé.</w:t>
      </w:r>
    </w:p>
    <w:p>
      <w:r>
        <w:rPr>
          <w:b/>
        </w:rPr>
        <w:t>E. 4</w:t>
      </w:r>
    </w:p>
    <w:p>
      <w:r>
        <w:t>Le recourant conteste le risque de récidive.</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 Verbrechen oder schwere Vergehen ",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l'espèce, le recourant est prévenu de nombreuses infractions contre le patrimoine, l'administration de la justice et la confiance accordée aux titres juridiques. En 2011, il a déjà été condamné pour faux dans les titres. Compte tenu du risque de réitération retenu en 2010 par les experts psychiatres pour des infractions de même nature et de la quantité d'infractions qu'il est soupçonné avoir commises, sur plusieurs années, le risque qu'il commette d'autres infractions du même genre apparaît très concret. Contrairement à ce que semble penser le recourant, la détention provisoire peut aussi être prononcée pour des infractions contre le patrimoine. Il sera en outre précisé que, dans la présente procédure, il est soupçonné de délits graves, commis pour certains à plusieurs reprises, et que la dénonciation calomnieuse (art. 303 CP) est passible d'une peine privative de liberté de 20 ans (art. 40 al. 2 CP), ce qui en fait une infraction particulièrement grave. Ce grief sera dès lors également rejeté.</w:t>
      </w:r>
    </w:p>
    <w:p>
      <w:r>
        <w:rPr>
          <w:b/>
        </w:rPr>
        <w:t>E. 5</w:t>
      </w:r>
    </w:p>
    <w:p>
      <w:r>
        <w:t>Compte tenu des risques retenus, point n'est besoin d'examiner si s'y ajoutent, en outre, un risque de fuite et de passage à l'acte (arrêt du Tribunal fédéral 1B_322/2019 du 17 juillet 2019 consid. 3.3 et la jurisprudence citée).</w:t>
      </w:r>
    </w:p>
    <w:p>
      <w:r>
        <w:rPr>
          <w:b/>
        </w:rPr>
        <w:t>E. 6</w:t>
      </w:r>
    </w:p>
    <w:p>
      <w:r>
        <w:t>Le recourant propose des mesures de substitution.</w:t>
      </w:r>
    </w:p>
    <w:p>
      <w:r>
        <w:rPr>
          <w:b/>
        </w:rPr>
        <w:t>E. 6.1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6.2</w:t>
      </w:r>
    </w:p>
    <w:p>
      <w:r>
        <w:t>En l'espèce, aucune des mesures proposées ne sont de nature à pallier les risques de collusion et réitération, la pose d'un bracelet électronique n'étant, en particulier, pas apte à empêcher le recourant d'appeler des témoins ou d'entraver l'action judiciaire, pas plus que de commettre de nouvelles infractions de même nature. Les autres mesures proposées concernent le risque de fuite, dont l'éventuelle réalisation n'a pas à être abordée, en l'état.</w:t>
      </w:r>
    </w:p>
    <w:p>
      <w:r>
        <w:rPr>
          <w:b/>
        </w:rPr>
        <w:t>E. 7</w:t>
      </w:r>
    </w:p>
    <w:p>
      <w:r>
        <w:t>Le recourant considère que sa détention provisoire, qui plus est pour une durée de trois mois, dans une procédure ancienne viole le principe de la proportionnalité. Le fait que la présente procédure ait été ouverte en 2014 ne rend pas la détention provisoire disproportionnée pour autant, au sens de l'art. 197 al. 1 et 212 al. 3 CPP, les conditions de l'art. 221 al. 1 CPP étant en l'espèce réalisées.</w:t>
      </w:r>
    </w:p>
    <w:p>
      <w:r>
        <w:rPr>
          <w:b/>
        </w:rPr>
        <w:t>E. 8</w:t>
      </w:r>
    </w:p>
    <w:p>
      <w:r>
        <w:t>Le recourant se réfère, dans son recours en personne et, précédemment, lors de l'audience du TMC, à des raisons médicales pour invoquer l'inadéquation de la détention provisoire, mais ne fournit aucun élément concret à l'appui de ce grief, qui ne présente dès lors aucune consistance. Se référer, comme il le fait en réplique, à un certificat médical attestant de son incapacité de prendre part à une audience (cf. let. B.a.f supra ) est sans pertinence sous l'angle de la compatibilité de la détention provisoire avec son état psychiatrique, d'autant plus que tous soins utiles peuvent lui être prodigués, si besoin, dans ce cadre. Qui plus est, le médecin ayant établi la pièce a été entendu pour les fins d'une autre procédure, dont n'est pas saisie la Chambre de céans, et le recourant n'a pas jugé utile de communiquer une copie du procès-verbal.</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