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P/21676/2020 vom 15. Februar 2021</w:t>
      </w:r>
    </w:p>
    <w:p>
      <w:r>
        <w:t>GE Cour de justice, 2021-02-15, FR</w:t>
      </w:r>
    </w:p>
    <w:p>
      <w:r>
        <w:rPr>
          <w:b/>
        </w:rPr>
        <w:t xml:space="preserve">Quelle: </w:t>
      </w:r>
      <w:r>
        <w:t>https://mcp.opencaselaw.ch/entscheid/ge_gerichte_P_21676_2020</w:t>
      </w:r>
    </w:p>
    <w:p>
      <w:r>
        <w:t>FR: GE_GERICHTE P/21676/2020 du 15 février 2021</w:t>
      </w:r>
    </w:p>
    <w:p>
      <w:r>
        <w:t>IT: GE_GERICHTE P/21676/2020 del 15 febbraio 2021</w:t>
      </w:r>
    </w:p>
    <w:p>
      <w:pPr>
        <w:pStyle w:val="Heading2"/>
      </w:pPr>
      <w:r>
        <w:t>Regeste</w:t>
      </w:r>
    </w:p>
    <w:p>
      <w:r>
        <w:t>INJURE;PLAINTE PÉNALE;DÉLAI | CPP.310; CPP.177; CP.31</w:t>
      </w:r>
    </w:p>
    <w:p>
      <w:pPr>
        <w:pStyle w:val="Heading2"/>
      </w:pPr>
      <w:r>
        <w:t>Erwägungen</w:t>
      </w:r>
    </w:p>
    <w:p>
      <w:r>
        <w:rPr>
          <w:b/>
        </w:rPr>
        <w:t>E. 1.1</w:t>
      </w:r>
    </w:p>
    <w:p>
      <w:r>
        <w:t>Bien que l'acte ait été expédié au Ministère public et fasse part de l'" opposition " de son auteure, il y a lieu de considérer qu'il s'agit d'un recours contre l'ordonnance de non-entrée en matière.</w:t>
      </w:r>
    </w:p>
    <w:p>
      <w:r>
        <w:rPr>
          <w:b/>
        </w:rPr>
        <w:t>E. 1.2</w:t>
      </w:r>
    </w:p>
    <w:p>
      <w:r>
        <w:t>Le recours est recevable pour avoir été déposé selon la forme et dans le délai prescrits (art. 91 al. 4,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en présence d'un empêchement de procéder (art. 310 al. 1 let. b CPP). Ainsi en va-t-il lorsqu'une infraction réprimée sur plainte a été dénoncée tardivement (arrêt du Tribunal fédéral 6B_1113/2014 du 28 octobre 2015 consid. 2).</w:t>
      </w:r>
    </w:p>
    <w:p>
      <w:r>
        <w:rPr>
          <w:b/>
        </w:rPr>
        <w:t>E. 3.2</w:t>
      </w:r>
    </w:p>
    <w:p>
      <w:r>
        <w:t>La poursuite des infractions contre l'honneur au sens des art. 173ss CP - y compris l'injure selon l'art. 177 CP - implique le dépôt d'une plainte pénale (art. 30 CP). Le droit de porter plainte se prescrit par trois mois, étant précisé que le délai court du jour où l'ayant droit a connaissance tant de l'auteur que de l'acte délictueux, c'est-à-dire des éléments constitutifs objectifs et subjectifs de l'infraction (art. 31 CP cum 178 al. 2 CP; arrêts du Tribunal fédéral 6B_1113/2014 précité, consid. 2.1 et 6B_599/2014 du 15 décembre 2014 consid. 2.1).</w:t>
      </w:r>
    </w:p>
    <w:p>
      <w:r>
        <w:rPr>
          <w:b/>
        </w:rPr>
        <w:t>E. 3.3</w:t>
      </w:r>
    </w:p>
    <w:p>
      <w:r>
        <w:t>En l'espèce, la recourante a déposé plainte pénale le 16 septembre 2020 pour les propos tenus par le mis en cause lors de leur altercation au sujet des déchets encombrants présents dans le local à poubelle. Or, cet événement a eu lieu en mars 2020, à teneur du courriel adressé par le mis en cause à la régie le 23 mars 2020. Lors de son dépôt de plainte, la recourante n'est pas parvenue à dater cette altercation, qu'elle estimait s'être produite " quelques semaines " plus tôt, " en été ". Son fils n'a pas été plus précis. Dans son recours, elle ne critique pas l'ordonnance querellée sous l'angle du constat de tardiveté de la plainte, ni ne produit d'élément permettant de situer l'événement postérieurement à mars 2020. Force est ainsi de constater que, déposée en septembre 2020 pour des propos tenus en mars 2020, la plainte de la recourante est manifestement tardive.</w:t>
      </w:r>
    </w:p>
    <w:p>
      <w:r>
        <w:rPr>
          <w:b/>
        </w:rPr>
        <w:t>E. 4</w:t>
      </w:r>
    </w:p>
    <w:p>
      <w:r>
        <w:t>Justifiée, l'ordonnance querellée sera donc confirmée.</w:t>
      </w:r>
    </w:p>
    <w:p>
      <w:r>
        <w:rPr>
          <w:b/>
        </w:rPr>
        <w:t>E. 5</w:t>
      </w:r>
    </w:p>
    <w:p>
      <w:r>
        <w:t>La recourante, qui succombe, supportera les frais envers l'État, qui seront fixés en totalité à CHF 800.-, y compris l'émolument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