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P/21605/2023 vom 17. Mai 2024</w:t>
      </w:r>
    </w:p>
    <w:p>
      <w:r>
        <w:t>GE Cour de justice, 2024-05-17, FR</w:t>
      </w:r>
    </w:p>
    <w:p>
      <w:r>
        <w:rPr>
          <w:b/>
        </w:rPr>
        <w:t xml:space="preserve">Quelle: </w:t>
      </w:r>
      <w:r>
        <w:t>https://mcp.opencaselaw.ch/entscheid/ge_gerichte_P_21605_2023</w:t>
      </w:r>
    </w:p>
    <w:p>
      <w:r>
        <w:t>FR: GE_GERICHTE P/21605/2023 du 17 mai 2024</w:t>
      </w:r>
    </w:p>
    <w:p>
      <w:r>
        <w:t>IT: GE_GERICHTE P/21605/2023 del 17 maggio 2024</w:t>
      </w:r>
    </w:p>
    <w:p>
      <w:pPr>
        <w:pStyle w:val="Heading2"/>
      </w:pPr>
      <w:r>
        <w:t>Regeste</w:t>
      </w:r>
    </w:p>
    <w:p>
      <w:r>
        <w:t>ORDONNANCE PÉNALE;OPPOSITION(PROCÉDURE);DÉFAUT(CONTUMACE) | CPP.355.al2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considéré que son défaut à l'audience valait retrait de l'opposition à l'ordonnance pénale.</w:t>
      </w:r>
    </w:p>
    <w:p>
      <w:r>
        <w:rPr>
          <w:b/>
        </w:rPr>
        <w:t>E. 2.1</w:t>
      </w:r>
    </w:p>
    <w:p>
      <w:r>
        <w:t>En cas d'opposition à l'ordonnance pénale, si l'opposant, sans excuse, fait défaut à une audition malgré une citation, son opposition est réputée retirée (art. 355 al. 2 CPP).</w:t>
      </w:r>
    </w:p>
    <w:p>
      <w:r>
        <w:rPr>
          <w:b/>
        </w:rPr>
        <w:t>E. 2.2</w:t>
      </w:r>
    </w:p>
    <w:p>
      <w:r>
        <w:t>Le mandat de comparution est décerné par écrit (art. 201 al. 1 CPP). Il contient, en particulier, les conséquences juridiques d'une absence non excusée (al. 2 let. f).</w:t>
      </w:r>
    </w:p>
    <w:p>
      <w:r>
        <w:rPr>
          <w:b/>
        </w:rPr>
        <w:t>E. 2.2.1</w:t>
      </w:r>
    </w:p>
    <w:p>
      <w:r>
        <w:t>Les parties et leur conseil qui ont leur domicile, leur résidence habituelle ou leur siège à l'étranger sont tenus de désigner un domicile de notification en Suisse ; les instruments internationaux prévoyant la possibilité de notification directe sont réservés (art. 87 al. 2 CPP). Si les parties sont pourvues d'un conseil juridique, les communications sont valablement notifiées à celui-ci (art. 87 al. 3 CPP).</w:t>
      </w:r>
    </w:p>
    <w:p>
      <w:r>
        <w:rPr>
          <w:b/>
        </w:rPr>
        <w:t>E. 2.2.2</w:t>
      </w:r>
    </w:p>
    <w:p>
      <w:r>
        <w:t>Selon l'art. 87 al. 4 CPP, lorsqu'une partie est tenue de comparaître personnellement à une audience ou d'accomplir elle-même un acte de procédure, la communication lui est notifiée directement. En pareil cas, une copie est adressée à son conseil juridique. Cette disposition, relative à la communication liée à une obligation de comparaître personnellement à une audience ou d'accomplir personnellement un acte de procédure, constitue clairement une limitation au principe énoncé à l'art. 87 al. 3 CPP (ATF 144 IV 64 consid. 2.5).</w:t>
      </w:r>
    </w:p>
    <w:p>
      <w:r>
        <w:rPr>
          <w:b/>
        </w:rPr>
        <w:t>E. 2.3</w:t>
      </w:r>
    </w:p>
    <w:p>
      <w:r>
        <w:t>La fiction de retrait prévue à l'art. 355 al. 2 CPP n'a pas d'effet à l'étranger. Lorsque le prévenu est domicilié à l'étranger, les autorités suisses ne peuvent pas lui faire parvenir une citation à comparaître assortie de menaces de sanctions; si elles le font, elles violent la souveraineté de l'État étranger (ATF 140 IV 86 consid. 2.4 et les références citées). Ce principe vaut quel que soit le mode de communication, donc également si le mandat de comparution est notifié à l'adresse de notification auprès d'un avocat en Suisse. En effet, la souveraineté de l'État étranger est violée, non pas parce qu’une citation à comparaître a franchi la frontière, mais parce que la personne qui séjourne à l’étranger est soumise à une contrainte (arrêt du Tribunal fédéral 6B_614/2017 du 2 mai 2018 consid. 2.3 ; S. GRODECKI , Commentaire de l'arrêt 6B_614/2017 , forumpoenale 6/2018 p. 491).</w:t>
      </w:r>
    </w:p>
    <w:p>
      <w:r>
        <w:rPr>
          <w:b/>
        </w:rPr>
        <w:t>E. 2.4</w:t>
      </w:r>
    </w:p>
    <w:p>
      <w:r>
        <w:t>En l'espèce, contrairement à ce que semble dire le Ministère public, le mandat de comparution n'a – sur la base des éléments figurant au dossier transmis à la Chambre de céans – pas été notifié au domicile du prévenu, mais à l'adresse de notification, chez son avocate valaisanne. La question du respect des réquisits de l'art. 87 al. 4 CPP peut toutefois demeurer indécise puisque, domicilié à l'étranger, le prévenu ne pouvait, conformément à la jurisprudence sus-rappelée, se voir imposer la fiction du retrait de l'opposition prévue à l'art. 355 al. 2 CPP.</w:t>
      </w:r>
    </w:p>
    <w:p>
      <w:r>
        <w:rPr>
          <w:b/>
        </w:rPr>
        <w:t>E. 3</w:t>
      </w:r>
    </w:p>
    <w:p>
      <w:r>
        <w:t>Fondé, le recours doit ainsi être admis. La décision querellée sera annulée et la cause renvoyée au Ministère public pour qu'il convoque à nouveau le prévenu à l'audience sur opposition.</w:t>
      </w:r>
    </w:p>
    <w:p>
      <w:r>
        <w:rPr>
          <w:b/>
        </w:rPr>
        <w:t>E. 4</w:t>
      </w:r>
    </w:p>
    <w:p>
      <w:r>
        <w:t>L'admission du recours ne donne pas lieu à la perception de frais (art. 428 al. 1 CPP).</w:t>
      </w:r>
    </w:p>
    <w:p>
      <w:r>
        <w:rPr>
          <w:b/>
        </w:rPr>
        <w:t>E. 5</w:t>
      </w:r>
    </w:p>
    <w:p>
      <w:r>
        <w:t>Le recourant, qui agit en personne, n'allègue ni n'établit avoir supporté des frais de défense, de sorte qu'il n'en sera pas alloué (art. 429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