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P/21600/2018 vom 3. Juni 2019</w:t>
      </w:r>
    </w:p>
    <w:p>
      <w:r>
        <w:t>GE Cour de justice, 2019-06-03, FR</w:t>
      </w:r>
    </w:p>
    <w:p>
      <w:r>
        <w:rPr>
          <w:b/>
        </w:rPr>
        <w:t xml:space="preserve">Quelle: </w:t>
      </w:r>
      <w:r>
        <w:t>https://mcp.opencaselaw.ch/entscheid/ge_gerichte_P_21600_2018</w:t>
      </w:r>
    </w:p>
    <w:p>
      <w:r>
        <w:t>FR: GE_GERICHTE P/21600/2018 du 3 juin 2019</w:t>
      </w:r>
    </w:p>
    <w:p>
      <w:r>
        <w:t>IT: GE_GERICHTE P/21600/2018 del 3 giugno 2019</w:t>
      </w:r>
    </w:p>
    <w:p>
      <w:pPr>
        <w:pStyle w:val="Heading2"/>
      </w:pPr>
      <w:r>
        <w:t>Regeste</w:t>
      </w:r>
    </w:p>
    <w:p>
      <w:r>
        <w:t>RISQUE DE RÉCIDIVE ; DÉTENTION PROVISOIRE | cpp.221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prévenu - quand bien même il conteste les faits - ne revient pas ici sur les charges pesant contre lui. Partant, il n'y a pas lieu de s'y attarder.</w:t>
      </w:r>
    </w:p>
    <w:p>
      <w:r>
        <w:rPr>
          <w:b/>
        </w:rPr>
        <w:t>E. 3</w:t>
      </w:r>
    </w:p>
    <w:p>
      <w:r>
        <w:t>Le recourant conteste les risques de fuite, collusion et réitération.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w:t>
      </w:r>
    </w:p>
    <w:p>
      <w:r>
        <w:rPr>
          <w:b/>
        </w:rPr>
        <w:t>E. 3.2</w:t>
      </w:r>
    </w:p>
    <w:p>
      <w:r>
        <w:t>En l'espèce, dans son précédent arrêt, la Chambre de céans avait déjà admis que ce risque était bien réel à l'endroit des plaignantes et de toutes les autres personnes à entendre, y compris l'épouse du prévenu et ses assistantes médicales. Dans l'intervalle, si les trois plaignantes et les employées du prévenu ont été entendues contradictoirement, le Ministère public doit encore procéder prochainement à l'audition contradictoire de l'épouse du prévenu et des personnes ayant recueilli les déclarations des plaignantes, ainsi que des patientes identifiées qui auraient subi des attouchements non consentis. Les charges ne s'étant pas amoindries, bien au contraire, eu égard au témoignage de l'ex-employée du prévenu, il subsiste toujours un risque très important que ce dernier tente de corrompre en sa faveur les déclarations de ces personnes ou exerce des pressions insoutenables sur elles, eu égard aux conséquences pour lui d'une éventuelle condamnation. À cet égard, le fait que le recourant s'attache déjà à mettre en cause le témoignage de son ex-employée - après avoir tenté, lors de son audition par la police, par l'intermédiaire de son avocat, de la déstabiliser et de la culpabiliser au point que celui-ci avait dû être recadré - et minimise l'impact de celui des proches des plaignantes au motif qu'ils n'avaient pas été des témoins directs des faits, n'est pas de nature à rassurer sur de telles velléités. Ce n'est pas parce qu'il n'aurait pas tenté d'influer les témoignages ou déclarations déjà recueillis qu'il ne serait pas tenté d'agir différemment à l'avenir, comme l'a du reste constaté le premier juge. Des pressions sur les plaignantes et, à travers elles, leurs proches restent en outre parfaitement possibles, quoi qu'en dise le recourant. Il n'appartient par ailleurs pas au recourant de décider de l'opportunité ou de l'utilité pour le Ministère public d'entendre son épouse, de sorte que son affirmation péremptoire selon laquelle elle ne témoignera pas est sans pertinence et le risque qu'il corrompe ses déclarations, bien réel. Le recourant ne saurait enfin reprocher au Ministère public de n'avoir pas procédé aux auditions annoncées avant l'échéance de sa mise en détention provisoire au 13 juin 2019 et d'ainsi solliciter une prolongation de sa détention alors qu'il s'est plutôt échiné à ralentir l'instruction en interjetant recours avec requête d'effet suspensif contre le mandat d'actes d'enquête du 16 mai 2019 - précisément délivré pour entendre des patientes qui auraient subi des attouchements non consentis de sa part -, et en déposant une demande de récusation de la Procureure en charge. Partant, le risque de collusion demeure, à ce stade, toujours très concret.</w:t>
      </w:r>
    </w:p>
    <w:p>
      <w:r>
        <w:rPr>
          <w:b/>
        </w:rPr>
        <w:t>E. 4</w:t>
      </w:r>
    </w:p>
    <w:p>
      <w:r>
        <w:t>L'admission de ce risque dispense d'examiner s'il existe, en sus, un risque de fuite et de réitération.</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dans son précédent arrêt, la Chambre de céans a statué qu'interdire au prévenu tout contact avec son épouse et ses employées était difficilement envisageable. Son engagement de ne pas parler de l'affaire avec elles n'était par ailleurs pas un palliatif suffisant. Une interdiction de tout contact avec les proches à qui les plaignantes se seraient confiées n'apparaissait pas non plus suffisante, vu les enjeux considérables pour l'avenir professionnel du prévenu et du risque de pressions sur les personnes à entendre encore. Ces considérations restent d'actualité. Elles valent également à l'égard des patientes à entendre, même si l'interdiction de contact suggérée par le prévenu était notifiée sous forme de décision avec menace de la peine prévue à l'art. 292 CP. Le respect de telles interdictions de contact était enfin invérifiable, étant relevé qu'il ne serait pas certain que les personnes éventuellement contactées aillent s'en plaindre immédiatement à la police comme semble le tenir pour acquis le recourant. On ne voit enfin pas en quoi une assignation à domicile sous surveillance électronique empêcherait le recourant de prendre néanmoins contact avec les témoins, voire ne fasse pressions sur les plaignantes.</w:t>
      </w:r>
    </w:p>
    <w:p>
      <w:r>
        <w:rPr>
          <w:b/>
        </w:rPr>
        <w:t>E. 6</w:t>
      </w:r>
    </w:p>
    <w:p>
      <w:r>
        <w:t>Faute de mesures de substitution suffisantes en l'état pour pallier le risque de collusion - les autres mesures proposées par le recourant n'étant propres qu'à pallier, le cas échéant, les éventuels risques de fuite et de réitération -, le recours sera rejeté.</w:t>
      </w:r>
    </w:p>
    <w:p>
      <w:r>
        <w:rPr>
          <w:b/>
        </w:rPr>
        <w:t>E. 7</w:t>
      </w:r>
    </w:p>
    <w:p>
      <w:r>
        <w:t>Le recourant considère que la durée de sa détention provisoire est disproportionnée, dès lors qu'il s'exposerait de toute manière à une peine avec sursis. Cas échéant, il requérait une durée de prolongation de sa détention provisoire n'excédant pas un mois.</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eu égard à la peine-menace et concrètement encourue par le recourant s'il devait être reconnu coupable de toutes les préventions retenues contre lui, force est de constater que la durée de la détention provisoire subie jusqu'alors et jusqu'à l'échéance fixée par l'ordonnance querellée demeure parfaitement proportionnée, étant rappelé, au vu de la jurisprudence précitée, que l'éventualité d'un sursis n'a pas à entrer en ligne de compte. En outre, cette durée apparaît nécessaire pour procéder aux actes d'instruction en cours, étant précisé que les auditions contradictoires annoncées par le Ministère public devraient être agendées à la mi-août 2019.</w:t>
      </w:r>
    </w:p>
    <w:p>
      <w:r>
        <w:rPr>
          <w:b/>
        </w:rPr>
        <w:t>E. 8</w:t>
      </w:r>
    </w:p>
    <w:p>
      <w:r>
        <w:t>Le recours s'avère ainsi infondé et doit être rejeté.</w:t>
      </w:r>
    </w:p>
    <w:p>
      <w:r>
        <w:rPr>
          <w:b/>
        </w:rPr>
        <w:t>E. 9</w:t>
      </w:r>
    </w:p>
    <w:p>
      <w:r>
        <w:t>Le recourant, qui succombe, supporter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