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P/21590/2023 vom 20. Juni 2025</w:t>
      </w:r>
    </w:p>
    <w:p>
      <w:r>
        <w:t>GE Cour de justice, 2025-06-20, FR</w:t>
      </w:r>
    </w:p>
    <w:p>
      <w:r>
        <w:rPr>
          <w:b/>
        </w:rPr>
        <w:t xml:space="preserve">Quelle: </w:t>
      </w:r>
      <w:r>
        <w:t>https://mcp.opencaselaw.ch/entscheid/ge_gerichte_P_21590_2023</w:t>
      </w:r>
    </w:p>
    <w:p>
      <w:r>
        <w:t>FR: GE_GERICHTE P/21590/2023 du 20 juin 2025</w:t>
      </w:r>
    </w:p>
    <w:p>
      <w:r>
        <w:t>IT: GE_GERICHTE P/21590/2023 del 20 giugno 2025</w:t>
      </w:r>
    </w:p>
    <w:p>
      <w:pPr>
        <w:pStyle w:val="Heading2"/>
      </w:pPr>
      <w:r>
        <w:t>Regeste</w:t>
      </w:r>
    </w:p>
    <w:p>
      <w:r>
        <w:t>VOL(DROIT PÉNAL);VIOLATION DE DOMICILE;TENTATIVE(DROIT PÉNAL);DISPOSITIONS PÉNALES DE LA LCR;CONDUITE SANS AUTORISATION;RUPTURE DE BAN;ERREUR SUR LES FAITS(DROIT PÉNAL);ERREUR DE DROIT(DROIT PÉNAL) | CP.139.ch1; CP.186; LCR.95.al1.leta; CP.291; CP.22.al1; CP.13.al1; CP.21</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(ATF 144 IV 345 consid. 2.2.3.1 ; ATF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2.2</w:t>
      </w:r>
    </w:p>
    <w:p>
      <w:r>
        <w:t>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6B_59/2025 du 9 avril 2025 consid. 1.1. ; 6B_324/2017 du 8 mars 2018 consid. 1.1. ; 6B_1183/2016 du 24 août 2017 consid. 1.1. ; 6B_445/2016 du 5 juillet 2017 consid. 5.1.).</w:t>
      </w:r>
    </w:p>
    <w:p>
      <w:r>
        <w:rPr>
          <w:b/>
        </w:rPr>
        <w:t>E. 2.3</w:t>
      </w:r>
    </w:p>
    <w:p>
      <w:r>
        <w:t>Selon l'art. 139 ch. 1 CP, quiconque, pour se procurer ou procurer à un tiers un enrichissement illégitime, soustrait une chose mobilière appartenant à autrui dans le but de se l'approprier est puni d'une peine privative de liberté de cinq ans au plus ou d'une peine pécuniaire.</w:t>
      </w:r>
    </w:p>
    <w:p>
      <w:r>
        <w:rPr>
          <w:b/>
        </w:rPr>
        <w:t>E. 2.4</w:t>
      </w:r>
    </w:p>
    <w:p>
      <w:r>
        <w:t>Selon l'art. 186 CP, toute personne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à lui adressée par un tiers sera, sur plainte, puni d'une peine privative de liberté de trois ans au plus ou d'une peine pécuniaire.</w:t>
      </w:r>
    </w:p>
    <w:p>
      <w:r>
        <w:rPr>
          <w:b/>
        </w:rPr>
        <w:t>E. 2.5</w:t>
      </w:r>
    </w:p>
    <w:p>
      <w:r>
        <w:t>Le juge peut atténuer la peine si l'exécution d'un crime ou d'un délit n'est poursuivie jusqu'à son terme ou que le résultat nécessaire à la consommation de l'infraction en se produit pas ou ne pouvait pas se produire (art. 22 al. 1 CP).</w:t>
      </w:r>
    </w:p>
    <w:p>
      <w:r>
        <w:rPr>
          <w:b/>
        </w:rPr>
        <w:t>E. 2.6</w:t>
      </w:r>
    </w:p>
    <w:p>
      <w:r>
        <w:t>Selon l'art. 95 al. 1 let. a LCR, est puni d'une peine privative de liberté de trois ans au plus ou d'une pine pécuniaire quiconque conduit un véhicule automobile sans être titulaire du permis de conduire requis.</w:t>
      </w:r>
    </w:p>
    <w:p>
      <w:r>
        <w:rPr>
          <w:b/>
        </w:rPr>
        <w:t>E. 2.7</w:t>
      </w:r>
    </w:p>
    <w:p>
      <w:r>
        <w:t>Selon l'art. 291 CP, quiconque contrevient à une décision d'expulsion du territoire de la Confédération ou d'un canton prononcée par une autorité compétente est puni d'une peine privative de liberté de trois ans au plus ou d'une peine pécuniaire (al. 1). La durée de cette peine n'est pas imputée sur celle de l'expulsion (al. 2). La rupture de ban suppose la réunion de trois conditions : une décision d'expulsion, la transgression de celle-ci et l'intention. Cette infraction est consommée dans deux hypothèses : si l'auteur reste en Suisse après l'entrée en force de la décision d'expulsion alors qu'il a l'obligation de partir ou s'il y entre pendant la durée de validité de l'expulsion. La rupture de ban est un délit continu qui est réalisé aussi longtemps que dure le séjour illicite (ATF 147 IV 253 consid. 2.2.1 p. 256; 147 IV 232 consid. 1.1). La punissabilité du séjour irrégulier suppose que l'étranger ne se trouve pas dans l'impossibilité objective - par exemple en raison d'un refus du pays d'origine d'admettre le retour de ses ressortissants ou de délivrer des papiers d'identité - de quitter la Suisse et de rentrer légalement dans son pays d'origine. En effet, le principe de la faute suppose la liberté de pouvoir agir autrement (ATF 143 IV 249 consid. 1.6.1; arrêt du Tribunal fédéral 6B_669/2021 du 11 avril 2022 consid. 3.1). Un étranger en situation irrégulière en Suisse ne peut donc pas être condamné en vertu de l'art. 115 al. 1 let. b LEI s'il lui est objectivement impossible de quitter légalement la Suisse, ce qui vaut a fortiori aussi pour l'infraction de rupture de ban au sens de l'art. 291 CP, celle-ci étant également soumise au principe de la faute (arrêt du Tribunal fédéral 6B_669/2021 du 11 avril 2022 consid. 3.1).</w:t>
      </w:r>
    </w:p>
    <w:p>
      <w:r>
        <w:rPr>
          <w:b/>
        </w:rPr>
        <w:t>E. 2.8</w:t>
      </w:r>
    </w:p>
    <w:p>
      <w:r>
        <w:t>L'Algérie n'accepte pas le retour de ses ressortissants par vols spéciaux (arrêt du Tribunal fédéral 6B_525/2014 du 9 octobre 2014 consid. 1.2). Les renvois sous la contrainte à destination de l'Algérie sont néanmoins possibles, lorsque le rapatriement est effectué sur des vols de ligne (arrêt du Tribunal fédéral 2C_1072/2015 du 21 décembre 2015 consid. 3.3 ; rapport du Conseil fédéral du 30 octobre 2012 en réponse au postulat du Conseiller national Hugues Hiltpold [11.3689], Migration en provenance de pays nord-africains (et du Yémen) - Situation en Suisse). En outre, les autorités compétentes algériennes établissent régulièrement des laissez-passer pour les personnes dont l'identité et la nationalité algérienne ont été confirmées (arrêts du Tribunal fédéral 6B_106/2016 du 7 décembre 2016 consid. 1.4.1 et 2C_1072/2015 du 21 décembre 2015 consid. 3.3). Le fait que l'Algérie ne collabore pas avec la Suisse en matière de vols spéciaux ne dispense pas les autorités administratives de toute démarche en vue du renvoi (ATF 147 IV 232 consid. 1.7).</w:t>
      </w:r>
    </w:p>
    <w:p>
      <w:r>
        <w:rPr>
          <w:b/>
        </w:rPr>
        <w:t>E. 2.9</w:t>
      </w:r>
    </w:p>
    <w:p>
      <w:r>
        <w:t>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(arrêt du Tribunal fédéral 6B_1131/2018 du 21 janvier 2019 consid. 2.1).</w:t>
      </w:r>
    </w:p>
    <w:p>
      <w:r>
        <w:rPr>
          <w:b/>
        </w:rPr>
        <w:t>E. 2.10</w:t>
      </w:r>
    </w:p>
    <w:p>
      <w:r>
        <w:t>Aux termes de l'art. 21 CP, quiconque ne sait ni ne peut savoir au moment d'agir que son comportement est illicite n'agit pas de manière coupable. Le juge atténue la peine si l'erreur était évitable.</w:t>
      </w:r>
    </w:p>
    <w:p>
      <w:r>
        <w:rPr>
          <w:b/>
        </w:rPr>
        <w:t>E. 2.10.1</w:t>
      </w:r>
    </w:p>
    <w:p>
      <w:r>
        <w:t>En l'espèce, l'appelant ne conteste pas avoir tenté de forcer la porte du domicile de D______, dans un premier temps, à l'aide d'un pied-de-biche, sans y parvenir. Abandonnant l'objet sur place, il a contourné les lieux et a pénétré dans un jardin, ouvert une autre porte et est monté à l'étage d'une seconde maison pour y commettre un cambriolage consommé. Lorsque la fille du propriétaire des lieux a donné l'alerte, il s'est mis à courir, laissant tomber dans sa fuite une paire de gants, laquelle sera plus tard retrouvée dans le jardin et dans laquelle son ADN sera prélevé. Au vu du déroulement des faits décrits ci-dessus, confirmé par l'appelant lui-même en audience d'instruction, ainsi que par les parties plaignantes, le premier ne peut se prévaloir d'avoir tenté de cambrioler une seule et même maison. En effet, il a essayé d'ouvrir une première porte, puis a pénétré par une autre entrée pour monter à l'étage et commettre un vol abouti. Il s'agit de deux complexes de faits distincts, relatifs à deux maisons différentes, même si elles sont proches d'un point de vue aérien, voire même terrestre. Au vu des explications qui précèdent, l'appelant ne peut se prévaloir d'une erreur sur les faits, sachant pertinemment qu'il procédait à une tentative de cambriolage puis a commis un cambriolage abouti. Au vu de ce qui précède, son appel sera rejeté sur ce point et le jugement attaqué confirmé. L'appelant sera donc reconnu coupable de tentative de violation de domicile et de tentative de vol au sens des art. 22 cum 186 CP et 22 cum 139 CP s'agissant des faits commis au détriment de D______.</w:t>
      </w:r>
    </w:p>
    <w:p>
      <w:r>
        <w:rPr>
          <w:b/>
        </w:rPr>
        <w:t>E. 2.10.2</w:t>
      </w:r>
    </w:p>
    <w:p>
      <w:r>
        <w:t>L'appelant ne conteste pas la typicité de l'infraction au sens de l'art. 95 al. 1 let. a LCR, expliquant uniquement avoir été sous l'emprise d'une erreur sur l'illicéité. Or, il a fait l'objet de neuf condamnations depuis 2016 et de deux expulsions depuis 2018 pour des périodes de cinq ans et sept ans. En outre, il se déclare présent sur le territoire suisse depuis 2013, soit depuis douze ans. Au vu de ce qui précède, il ne peut se prétendre de passage dans un pays dont il ne connaît pas les lois. Il est par ailleurs douteux qu'il ne connaisse pas la réglementation de ce pays, à laquelle il a pourtant décidé de se conformer, certes sur un autre aspect, puisque suite à son expulsion prononcée en 2018, il a quitté le territoire helvétique en 2019, pour se rendre en France. Il semblerait surtout, à teneur du dossier, que l'appelant n'était titulaire d'aucun permis requis de conduire de ce motocycle, ce qui relèverait d'infraction tant en Suisse, qu'en France. L'appelant n'explique donc pas quelle erreur sur l'illicéité il aurait commise à cet égard, la licéité de la conduite d'un tel deux-roues en France n'étant nullement établie. Pour le surplus, il admet l'infraction au sens de l'art. 291 CP. Cette infraction est dûment réalisée, l'appelant ayant fait des allers-retours entre la France et la Suisse, alors même qu'il a déclaré avoir quitté ce pays suite à son expulsion. Au vu de ce qui précède, son appel sera rejeté sur ce point et le jugement attaqué confirmé. L'appelant sera donc reconnu coupable de conduite sans permis et de rupture de ban au sens des art. 95 al. 1 let. a LCR et 291 CP. Les critères de fixation de la peine seront examinés ci-dessous.</w:t>
      </w:r>
    </w:p>
    <w:p>
      <w:r>
        <w:rPr>
          <w:b/>
        </w:rPr>
        <w:t>E. 3</w:t>
      </w:r>
    </w:p>
    <w:p>
      <w:r>
        <w:t>3.1. Le vol au sens de l'art. 139 ch. 1 CP est passible d'une peine privative de liberté allant jusqu'à cinq ans plus ou d'une peine pécuniaire, les dommages à la propriété au sens de l'art. 144 ch. 1 CP, d'une peine privative de liberté allant jusqu'à trois ans ou d'une peine pécuniaire, de même que la violation de domicile au sens de l'art. 186 CP, les faux dans les certificats au sens de l'art. 252 al. 1 CP, la rupture de ban au sens de l'art. 291 ch. 1 CP et la conduite sans autorisation au sens de l'art. 95 al. 1 let. a LCR. L'empêchement d'accomplir un acte officiel au sens de l'art. 286 CP est passible d'une peine pécuniaire de 30 jours-amende au plus.</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3.4</w:t>
      </w:r>
    </w:p>
    <w:p>
      <w:r>
        <w:t>En l'espèce, la faute de l'appelant est importante. Il a commis une tentative de cambriolage, puis n'y parvenant pas, a commis un cambriolage immédiatement après dans le but de subvenir à ses besoins aux dépens des biens d'autrui. Il a toujours admis les faits, tout en les minimisant puisqu'il a régulièrement indiqué " qu'il s'agissait de la même maison ", alors que tel n'était pas le cas. Sa situation personnelle semble fragile mais ne justifie pas ses agissements. Alors qu'il se sait expulsé de Suisse depuis 2018, puis encore une deuxième fois en 2022, il a persisté à revenir dans ce pays, par une petite douane située à H______, au volant d'un motocycle qu'il n'était pas autorisé à conduire. Son interpellation quasi-immédiate en Suisse a mis un terme à ses agissements. En Suisse, il est en rupture de ban, ne possède aucun titre de séjour, aucune perspective de régularisation, ni aucune source de revenu légal. Il pourrait rentrer en Algérie en collaborant avec les autorités. Sa collaboration a été plutôt bonne. Sa prise de conscience semble ébauchée au vu des excuses présentées à D______ et sa proposition de remboursement de ses frais, indépendamment de sa faculté d'effectuer un quelconque remboursement, mais qui mérite d'être soulignée. Il y a concours d'infractions et cumul d'infractions. Ses condamnations antérieures, au nombre de neuf, ne l'ont manifestement pas dissuadé de récidiver ou de prendre des dispositions pour permettre la mise en œuvre des décisions d'expulsion prononcées à son encontre. Le pronostic quant à son comportement futur ne peut être que défavorable, et seule une peine privative de liberté ferme entre en ligne de compte, ce que l'appelant ne conteste à juste titre pas, et est nécessaire en terme de prévention spéciale pour les infractions passibles à la fois d'une peine privative ou d'une peine pécuniaire. Compte tenu de la gravité de la faute de l'appelant, le vol sera sanctionné d'une peine privative de liberté de six mois, la tentative de vol à deux mois (peine hypothétique : quatre mois), les dommages à la propriété à un mois (peine hypothétique : deux mois), la violation de domicile à un mois (peine hypothétique : deux mois), la tentative de violation de domicile à 15 jours (peine hypothétique : un mois), les faux dans les certificats à un mois (peine hypothétique : deux mois), la rupture de ban à deux mois (peine hypothécaire : quatre mois), et la conduite sans autorisation à 15 jours (peine hypothétique : un mois). La peine privative de liberté de 14 mois ainsi que la peine pécuniaire de 30 jours-amende à CHF 10.- l'unité, fixées par le TP seront donc confirmées.</w:t>
      </w:r>
    </w:p>
    <w:p>
      <w:r>
        <w:rPr>
          <w:b/>
        </w:rPr>
        <w:t>E. 4.1</w:t>
      </w:r>
    </w:p>
    <w:p>
      <w:r>
        <w:t>L'appelant, qui succombe, supportera les frais de la procédure envers l'État, y compris un émolument d'arrêt de CHF 1'500.- (art. 428 CPP).</w:t>
      </w:r>
    </w:p>
    <w:p>
      <w:r>
        <w:rPr>
          <w:b/>
        </w:rPr>
        <w:t>E. 4.2</w:t>
      </w:r>
    </w:p>
    <w:p>
      <w:r>
        <w:t>Il n'y a pas lieu de revenir sur la répartition des frais de la procédure préliminaire et de première instance compte tenu de l'issue de l'appel (art. 426 CPP).</w:t>
      </w:r>
    </w:p>
    <w:p>
      <w:r>
        <w:rPr>
          <w:b/>
        </w:rPr>
        <w:t>E. 5</w:t>
      </w:r>
    </w:p>
    <w:p>
      <w:r>
        <w:t>5.1.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 AARP/187 /2017 du 18 mai 2017 consid. 7.2 ; AARP/435/2016 du 24 octobre 2016 consid. 6.2.2).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AARP/425/2013 du 12 septembre 2013 ; AARP/142/2016 du 14 avril 2016 consid. 5.4.1, AARP/281/2015 du 25 juin 2015 et AARP/272/2015 du 1 er juin 2015), contrairement au cas où un examen plus poussé s'imposait, notamment aux fins de déterminer l'opportunité d’un recours au plan cantonal ( AARP/184/2016 du 28 avril 2016 consid. 5.3.1 et AARP/158/2016 du 22 avril consid. 6.3).</w:t>
      </w:r>
    </w:p>
    <w:p>
      <w:r>
        <w:rPr>
          <w:b/>
        </w:rPr>
        <w:t>E. 5.3</w:t>
      </w:r>
    </w:p>
    <w:p>
      <w:r>
        <w:t>De jurisprudence constante à Genève, il n'appartient pas à l'assistance judiciaire d'indemniser le maître de stage pour la formation qu'il a l'obligation de fournir à son stagiaire ( AARP/331/2015 du 27 juillet 2015 ; AARP/325/2015 du 20 juillet 2015 et AARP/300/2015 du 16 juillet 2015 ; ACPR/167/2017 du 15 mars 2017 consid. 4.3). Les séances internes entre le défenseur d'office et son stagiaire, par exemple, ne sont pas indemnisées par l'assistance juridique ( AARP/57/2016 du 9 février 2016 consid. 7.2 et 7.3 ; AARP/307/2014 du 2 juillet 2014 ; AARP/20/2014 du 7 janvier 2014).</w:t>
      </w:r>
    </w:p>
    <w:p>
      <w:r>
        <w:rPr>
          <w:b/>
        </w:rPr>
        <w:t>E. 5.4</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5.5</w:t>
      </w:r>
    </w:p>
    <w:p>
      <w:r>
        <w:t>En l'occurrence, il convient d'écarter de l'état de frais déposé par M e B______ le temps consacré à la déclaration d'appel (3 heures et 15 minutes) ainsi que les courriers subséquents à la CPAR (80 minutes), le temps consacré à l'annonce d'appel (10 minutes) et l'analyse du jugement du TP (1 heure et 15 minutes). Seront en revanche pris en compte trois visites de l'avocat à son client à Champ-Dollon (4 heures et 30 minutes) et 2 heures pour la rédaction du mémoire d'appel soit un total de 6 heures et 30 minutes au tarif de CHF 200.- de l'heure. En conclusion, la rémunération sera arrêtée à CHF 1'405.30 correspondant à 6 heures 30 minutes d'activité au tarif de CHF 200/heure plus la majoration forfaitaire de la TVA de 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