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P/21578/2018 vom 9. Dezember 2020</w:t>
      </w:r>
    </w:p>
    <w:p>
      <w:r>
        <w:t>GE Cour de justice, 2020-12-09, FR</w:t>
      </w:r>
    </w:p>
    <w:p>
      <w:r>
        <w:rPr>
          <w:b/>
        </w:rPr>
        <w:t xml:space="preserve">Quelle: </w:t>
      </w:r>
      <w:r>
        <w:t>https://mcp.opencaselaw.ch/entscheid/ge_gerichte_P_21578_2018</w:t>
      </w:r>
    </w:p>
    <w:p>
      <w:r>
        <w:t>FR: GE_GERICHTE P/21578/2018 du 9 décembre 2020</w:t>
      </w:r>
    </w:p>
    <w:p>
      <w:r>
        <w:t>IT: GE_GERICHTE P/21578/2018 del 9 dicembre 2020</w:t>
      </w:r>
    </w:p>
    <w:p>
      <w:pPr>
        <w:pStyle w:val="Heading2"/>
      </w:pPr>
      <w:r>
        <w:t>Regeste</w:t>
      </w:r>
    </w:p>
    <w:p>
      <w:r>
        <w:t>SÉJOUR ILLÉGAL;DISPOSITIONS PÉNALES DE LA LSTUP;INTERDICTION DE PÉNÉTRER DANS UNE ZONE | LStup.19.al1.letc; LEI.115.al1.letB; LEI.119.al1</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La peine menace des art. 19 al. 1 let. c LStup et 119 al. 1 LEI est une peine privative de liberté de trois ans au plus ou une peine pécuniaire ; celle prévue par l'art. 115 al. 1 let. b LEI une peine privative de liberté d'un an au plus ou une peine pécuniaire. Cette dernière disposition consacre un délit continu, l'infraction étant achevée au moment où le séjour prend fin (ATF 135 IV 6 consid. 3.2). En vertu du principe de la culpabilité sur lequel repose le droit pénal, les peines prononcées dans plusieurs procédures pénales en raison de l'effet de césure ne peuvent dépasser la peine maximale prévue par la loi pour l'infraction en question (ATF 135 IV 6 consid. 4.2 p. 11). Pour prononcer une nouvelle condamnation et pour fixer la peine sans égard à la durée de l'infraction déjà prise en compte dans un jugement antérieur, il faut donc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Si les condamnations prononcées antérieurement atteignent ou dépassent cette limite, le prévenu est condamné à une peine de quotité nulle (ATF 149 IV 229 consid. 1.1 p. 451 et 1.5 p. 453 ; 145 IV 449 consid. 1). 2.2.1. Selon l'art. 47 CP, le juge fixe la peine d'après la culpabilité de l'auteur.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2.2.2.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4 ème éd., Bâle 2019,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par ailleurs plus lourd que des actes de nature différente. Les antécédents judiciaires ne sauraient toutefois conduire à une augmentation massive de la peine, parce que cela reviendrait à condamner une deuxième fois pour des actes déjà jugés (ATF 120 IV 136 consid. 3b p. 145).</w:t>
      </w:r>
    </w:p>
    <w:p>
      <w:r>
        <w:rPr>
          <w:b/>
        </w:rPr>
        <w:t>E. 2.3</w:t>
      </w:r>
    </w:p>
    <w:p>
      <w:r>
        <w:t>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 104; arrêts du Tribunal fédéral 6B_688/2014 du 22 décembre 2017 consid. 27.2.1 et 6B_1175/2017 du 11 avril 2018 consid. 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 p. 316).</w:t>
      </w:r>
    </w:p>
    <w:p>
      <w:r>
        <w:rPr>
          <w:b/>
        </w:rPr>
        <w:t>E. 2.4</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142 IV 265 consid. 2.3.3 p. 268 ; 141 IV 61 consid. 6.1.2 p. 67 ; 138 IV 113 consid. 3.4.1 p. 115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(ATF 142 IV 265 consid. 2.3.1-2.3.2 p. 267 s; 137 IV 57 consid. 4.3.1).</w:t>
      </w:r>
    </w:p>
    <w:p>
      <w:r>
        <w:rPr>
          <w:b/>
        </w:rPr>
        <w:t>E. 2.5</w:t>
      </w:r>
    </w:p>
    <w:p>
      <w:r>
        <w:t>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 137 II 297 consid. 2.3.4 p. 301 ; voir aussi arrêts du Tribunal fédéral 6B_20/2020 du 31 août 2020 destiné à la publication, consid. 3 ; 6B_420/2017 du 15 novembre 2017 consid. 2.1). Depuis le 1 er janvier 2018, le juge ne peut prononcer une peine privative de liberté que s'il y a lieu d'admettre qu'une peine pécuniaire ne paraît pas suffisante pour détourner l'auteur d'autres crimes ou délits ou s'il y a lieu de craindre qu'une peine pécuniaire ne puisse pas être exécutée (art. 41 al. 1 let. a et b CP). Le juge doit motiver le choix de la peine privative de liberté de manière circonstanciée (al. 2). Pour être à même d'émettre un pronostic à cet égard, le juge doit d'abord fixer dans les grandes lignes la peine pécuniaire susceptible d'être prononcée, étant précisé que, depuis le 1 er janvier 2018, l'art 34 al. 1 1 ère ph. CP fixe un plafond, en matière de peine pécuniaire, à 180 jours-amende. Lorsque le pronostic s'avère défavorable, le prononcé d'une peine privative de liberté devrait s'imposer (par analogie avec l'ancien droit s'agissant du choix de la peine : ATF 134 IV 60 ) (M. DUPUIS / L. MOREILLON / C. PIGUET / S. BERGER / M. MAZOU / V. RODIGARI, Petit commentaire du Code pénal , 2 ème éd., Bâle 2017, n. 2 ad art. 41 [1.1.2018]). S'agissant de l'art. 41 al. 1 let. b CP, l'impossibilité doit être liée à la personne du condamné. Il y a lieu d'admettre qu'une peine pécuniaire ne peut être prononcée lorsque le condamné ne s'acquittera vraisemblablement pas des jours-amende, en présence d'un risque de fuite, par manque de moyens suffisants ou encore en raison d'une mesure d'éloignement prononcée par une autorité administrative (M. DUPUIS / L. MOREILLON / C. PIGUET / S. BERGER / M. MAZOU / V. RODIGARI, op. cit ., n. 3 ad art. 41 [1.1.2018]).</w:t>
      </w:r>
    </w:p>
    <w:p>
      <w:r>
        <w:rPr>
          <w:b/>
        </w:rPr>
        <w:t>E. 2.6</w:t>
      </w:r>
    </w:p>
    <w:p>
      <w:r>
        <w:t>Le juge suspend en règle générale l'exécution d'une peine pécuniaire ou d'une peine privative de liberté de deux ans au plus lorsqu'une peine ferme ne paraît pas nécessaire pour détourner l'auteur d'autres crimes ou délits (art. 42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(art. 46 al. 1 CP). La commission d'un crime ou d'un délit durant le délai d'épreuve n'entraîne toutefois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et, lors de l'appréciation des perspectives d'amendement, doit prendre en considération l'effet dissuasif que la nouvelle peine peut exercer, si elle est exécutée (arrêt du Tribunal fédéral 6B_291/2020 du 15 mai 2020 consid. 2.3 et les référence citées). L'existence d'un pronostic défavorable quant au comportement futur du condamné, bien qu'elle soit une condition aussi bien du sursis à la nouvelle peine que de la révocation d'un sursis antérieur, ne peut pas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(arrêt 6B_291/2020 susmentionné).</w:t>
      </w:r>
    </w:p>
    <w:p>
      <w:r>
        <w:rPr>
          <w:b/>
        </w:rPr>
        <w:t>E. 2.7</w:t>
      </w:r>
    </w:p>
    <w:p>
      <w:r>
        <w:t>Aux termes de l'art. 51 CP, le juge impute sur la peine la détention avant jugement subie par l'auteur dans le cadre de l'affaire qui vient d'être jugée ou d'une autre procédure. Un jour de détention correspond à un jour-amende.</w:t>
      </w:r>
    </w:p>
    <w:p>
      <w:r>
        <w:rPr>
          <w:b/>
        </w:rPr>
        <w:t>E. 2.8</w:t>
      </w:r>
    </w:p>
    <w:p>
      <w:r>
        <w:t>En l'espèce, l'appelant ne conteste pas s'être rendu coupable de séjour illégal pour les périodes courant du 7 juillet au 1 er novembre 2018, du 3 au 5 novembre 2018, du 7 novembre 2018 au 2 janvier 2019, du 4 janvier au 8 octobre 2019 et du 9 octobre au 3 décembre 2019. A cet égard, le fait que les ordonnances pénales visent, s'agissant de cette infraction, des périodes qui se chevauchent partiellement - soit du 22 au 29 janvier 2019 - demeure sans incidence sur le résultat de la procédure (cf. infra p. 11). L'appelant a également admis s'être trouvé à au moins cinq reprises à Genève, en dépit de l'interdiction de pénétrer sur le territoire du canton, à tout le moins les 5 novembre 2018, 2 et 29 janvier 2019 et 8 octobre 2019, ainsi qu'entre les 9 octobre et 3 décembre 2019. Il a enfin reconnu une transaction portant sur une boulette de cocaïne. Il s'en est ainsi pris, sur une période d'un peu plus d'une année, à plusieurs biens juridiques, par pure convenance personnelle. Sa situation personnelle précaire ne justifie en effet en rien ses agissements. Le fait qu'à tout le moins à deux reprises, sa venue à Genève ait pu être requise par la nécessité de chercher des documents chez son avocate, n'explique pas pour autant qu'il soit resté dans cette ville toute la journée, sa motivation apparaissant liée davantage à des motifs égoïstes, soit se nourrir auprès d'institutions sociales, voire d'amis et s'adonner au trafic de drogue. Sa faute est loin d'être anodine, ce d'autant qu'il s'est déjà rendu coupable, dès son arrivée en Suisse et à de réitérées reprises, d'infractions similaires, sans que les sanctions prononcées ne modifient son comportement. Sa collaboration à l'enquête ne peut être qualifiée que de médiocre, dans la mesure où il n'a admis les faits qu'après avoir été confronté à des éléments de preuves. Il y a concours d'infractions, ce qui est un facteur aggravant. C'est à juste titre que le premier juge a considéré que seule une peine privative de liberté entrait en ligne de compte, l'appelant n'ayant pas acquitté les peines pécuniaires auxquelles il a été précédemment condamné et n'ayant à l'évidence pas les moyens financiers d'assumer une nouvelle sanction de ce type. Il s'ensuit qu'une peine complémentaire à la peine pécuniaire de 30 jours-amende prononcée le 22 janvier 2019 est exclue. Contrairement à ce qu'a retenu le TP, les précédentes condamnations de l'appelant pour séjour illégal n'atteignent pas la peine maximale prévue par la loi. Le renvoi de l'intéressé en Espagne, intervenu le 15 septembre 2015, a en effet interrompu le délit continu de séjour illégal antérieur, un nouveau délit ayant commencé à courir lors de son retour, lequel a été sanctionné par ordonnance pénale du 29 septembre 2015. Si l'on tient compte des condamnations pour séjour illégal intervenues ultérieurement ( i.e. peines pécuniaires totalisant 70 jours-amende, infligées les 15 octobre 2015, 17 août 2016, 4 avril 2017 et 22 janvier 2019 ; 120 jours de peine privative de liberté à teneur de ordonnances pénales des 22 juin 2016, 15 avril 2017 et 5 octobre 2018), une nouvelle condamnation pour séjour illégal - dont la durée retenue par le premier juge aurait néanmoins dû être réduite de la période courant du 29 janvier au 24 avril 2019, durant laquelle l'appelant était détenu - aurait donc encore pu être prononcée. Compte tenu de l'interdiction de la reformatio in pejus consacrée par l'art. 391 al. 2 CPP, une modification du jugement entrepris sur ce point est toutefois exclue, la renonciation du TP à infliger une peine en lien avec le séjour illégal à l'appelant étant acquise à ce dernier. Il n'en demeure pas moins que la persistance de l'appelant à vouloir demeurer en Suisse en dépit des peines infligées témoigne du mépris pour l'ordre juridique suisse qu'il affiche. Le raisonnement du premier juge, consistant à fixer la peine de base pour l'infraction à la LStup, infraction la plus grave, à 50 jours de privation de liberté, puis à y ajouter, pour l'infraction à l'art. 19 LEI, commise à au moins cinq reprises, une peine privative de liberté de 100 jours, réduite à 80 pour tenir compte du principe de l'aggravation, respecte ainsi les principes rappelés ci-avant et ne prête pas flanc à la critique. Le sursis pour cette peine n'est pas plaidé. Le pronostic est en tout état défavorable, au vu des antécédents de l'appelant, qui a récidivé à deux reprises alors qu'il venait de bénéficier d'une libération conditionnelle en promettant de s'amender. Le fait que l'appelant soit désormais pris en charge dans un foyer de l'EVAM ne saurait modifier cette appréciation. L'appelant persiste en effet à vouloir rester en Suisse, malgré le rejet de sa demande d'asile, étant précisé qu'aucun document n'a été produit attestant du dépôt d'une nouvelle demande d'asile, dont les chances de succès apparaissent en toute hypothèse minces. En dépit des multiples sanctions prononcées à son encontre, dont plusieurs peines privatives de liberté fermes, l'appelant persiste à assimiler à une volonté de sortir de l'illégalité son souhait de demeurer en Suisse en déposant une troisième demande d'asile. La confirmation de la peine prononcée par le premier juge ne paraît dès lors pas suffisante pour considérer que le pronostic ne serait pas défavorable. Dans ces conditions, la révocation du sursis accordé le 17 août 2016 n'est pas critiquable et doit être confirmée. L'appel sera par conséquent entièrement rejeté.</w:t>
      </w:r>
    </w:p>
    <w:p>
      <w:r>
        <w:rPr>
          <w:b/>
        </w:rPr>
        <w:t>E. 3</w:t>
      </w:r>
    </w:p>
    <w:p>
      <w:r>
        <w:t>L'appelant, qui succombe, supportera les frais de la procédure envers l'État, comprenant un émolument de CHF 1'200.- (art. 428 CPP).</w:t>
      </w:r>
    </w:p>
    <w:p>
      <w:r>
        <w:rPr>
          <w:b/>
        </w:rPr>
        <w:t>E. 4</w:t>
      </w:r>
    </w:p>
    <w:p>
      <w:r>
        <w:t>Considéré globalement, l'état de frais produit par M e B______, défenseure d'office de l'appelant, satisfait les exigences légales et jurisprudentielles régissant l'assistance judiciaire gratuite en matière pénale. La rémunération de M e B______ sera, partant, arrêtée à CHF 685.- correspondant à 1 heure d'activité au tarif de CHF 200.-/heure et 3 heures d'activité au tarif de CHF 110.-/heure, plus la majoration forfaitaire de 20% (CHF 106.-) et l'équivalent de la TVA au taux de 7.7% en CHF 49.-.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