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P/21567/2022 vom 20. Juni 2025</w:t>
      </w:r>
    </w:p>
    <w:p>
      <w:r>
        <w:t>GE Cour de justice, 2025-06-20, FR</w:t>
      </w:r>
    </w:p>
    <w:p>
      <w:r>
        <w:rPr>
          <w:b/>
        </w:rPr>
        <w:t xml:space="preserve">Quelle: </w:t>
      </w:r>
      <w:r>
        <w:t>https://mcp.opencaselaw.ch/entscheid/ge_gerichte_P_21567_2022</w:t>
      </w:r>
    </w:p>
    <w:p>
      <w:r>
        <w:t>FR: GE_GERICHTE P/21567/2022 du 20 juin 2025</w:t>
      </w:r>
    </w:p>
    <w:p>
      <w:r>
        <w:t>IT: GE_GERICHTE P/21567/2022 del 20 giugno 2025</w:t>
      </w:r>
    </w:p>
    <w:p>
      <w:pPr>
        <w:pStyle w:val="Heading2"/>
      </w:pPr>
      <w:r>
        <w:t>Regeste</w:t>
      </w:r>
    </w:p>
    <w:p>
      <w:r>
        <w:t>LOI COVID-19;ESCROQUERIE;FAUX MATÉRIEL DANS LES TITRES | aOCaS-COVID-19.23; CP.146; CP.251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Elle peut également examiner en faveur du prévenu des points du jugement qui ne sont pas attaqués, afin de prévenir des décisions illégales ou inéquitables (art. 404 al. 2 CPP).</w:t>
      </w:r>
    </w:p>
    <w:p>
      <w:r>
        <w:rPr>
          <w:b/>
        </w:rPr>
        <w:t>E. 2</w:t>
      </w:r>
    </w:p>
    <w:p>
      <w:r>
        <w:t>L'appelant conclut principalement au renvoi de la cause au TP pour nouveau jugement, au motif que, bien que B______ ait été accusé d'escroquerie, le dispositif du jugement ne contiendrait pas de décision de ce chef, ce qui constituerait un déni de justice formel. 2.1.1. À teneur de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Les parties doivent pouvoir bénéficier de deux instances qui, toutes deux, doivent se prononcer régulièrement. Il y aura annulation du jugement lorsque le tribunal de première instance n'a pas examiné, comme il aurait dû le faire, tous les éléments de l'acte d'accusation (Y. JEANNERET / A. KUHN / C. PERRIER DEPEURSINGE (éds), Commentaire romand : Code de procédure pénale suisse, 2 ème éd., Bâle 2019, n. 1 et 6 ad art. 409). 2.1.2. L'art. 351 al. 1 CPP dispose que lorsque le tribunal est en mesure de statuer matériellement sur l'accusation, il rend un jugement sur la culpabilité de prévenu, les sanctions et les autres conséquences. La condamnation ou l'acquittement porte sur un complexe de faits, si bien que lorsqu'une qualification juridique plus favorable que celle de l'acte d'accusation est retenue, le tribunal ne prononce pas l'acquittement (Y. JEANNERET / A. KUHN / C. PERRIER DEPEURSINGE (éds), op. cit., n. 3 ad art. 351).</w:t>
      </w:r>
    </w:p>
    <w:p>
      <w:r>
        <w:rPr>
          <w:b/>
        </w:rPr>
        <w:t>E. 2.2</w:t>
      </w:r>
    </w:p>
    <w:p>
      <w:r>
        <w:t>En l'occurrence, le MP a engagé l'accusation devant le TP en désignant dans son acte d'accusation l'une des infractions réalisées selon lui, l'escroquerie. Le TP a statué sur ce point dans ses considérants, excluant une condamnation de ce chef (consid. 7.4.1). Le grief tiré du déni de justice tombe donc à faux. Il n'y a pas lieu, partant, d'annuler le jugement attaqué et de renvoyer la cause au TP pour qu’il soit procédé à de nouveaux débats. En revanche, le complexe de faits décrit dans l'acte d'accusation ne tombant que (très) partiellement sous le coup de l'OCaS-COVID-19 (cf. infra 3.2.3), qualification juridique plus favorable, le TP ne pouvait se dispenser d'acquitter (formellement) l'intimé d'escroquerie (cf. infra 3.2.2) dans son dispositif – ce que la Cour corrigera d'office pour prévenir une décision illégale (art. 404 al. 2 CPP). 3.1.1. En vertu de l'art. 146 CP, dans sa teneur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Dans le cadre de l'octroi de crédits COVID-19, il y a tromperie astucieuse dès lors que l'auteur indique un chiffre d'affaires contraire à la vérité dans le formulaire de demande de crédit (arrêt du Tribunal fédéral 6B_262/2024 du 27 novembre 2024 consid. 1.6.2). En effet, les crédits COVID-19 sont conçus comme des aides immédiates aux PME, soumis à des dispositions spécifiques, subordonnés à des conditions précises et octroyés sur le fondement d'une déclaration sur l'honneur. Dans ces conditions particulières, la simple remise de fausses informations constitue dès lors une tromperie astucieuse, indépendamment de l'existence ou non d'un rapport de confiance avec la banque qui octroie le crédit. Non seulement la vérification des informations fournies par l'auteur n'est pas prévue, mais elle est également impossible à certains égards, si l'on pense en particulier à l'influence de la pandémie sur le chiffre d'affaires (ATF 150 IV 169 consid. 5.1.4 in SJ 2024 p. 708 (711)) ; arrêt du Tribunal fédéral 6B_394/2024 du 7 avril 2025 consid. 2.3.2). Dans ce contexte, le dommage patrimonial est subi par la coopérative de cautionnement solidaire qui s'est portée garante du remboursement du crédit COVID-19, raison pour laquelle il y a ce que l'on appelle une fraude triangulaire (arrêt du Tribunal fédéral 6B_95/2024 du 6 février 2025 consid. 3.2.7).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arrêt du Tribunal fédéral 7B_104/2023 du 13 janvier 2025 consid. 3.1.6). Ce principe exige simplement que l'auteur vise l'obtention, pour lui-même ou un tiers, d'un enrichissement qui soit le pendant de l'appauvrissement de la victime et qu'appauvrissement et enrichissement procèdent de la même décision (arrêt du Tribunal fédéral 6B_394/2024 du 7 avril 2025 consid. 2.1). 3.1.2. L'art. 251 ch. 1 CP, dans sa teneur jusqu'au 30 juin 2023,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pour tromper autrui, aura fait usage d'un tel titre. Sont des titres tous les écrits destinés et propres à prouver un fait ayant une portée juridique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Une demande de crédit COVID-19 ne jouit pas d'une crédibilité accrue en ce qui concerne les assurances que la société est « considérablement touchée économiquement par la pandémie de COVID-19, notamment en ce qui concerne son chiffre d'affaires » et que l'emprunteur utilisera le crédit octroyé exclusivement pour assurer ses besoins courants de liquidités (arrêt du Tribunal fédéral 6B_262/2024 du 27 novembre 2024 consid. 1.9.7). Par contre, les informations sur le chiffre d'affaires fournies dans le " Bloc 1 " au chiffre 3 du formulaire d'une demande de prêt COVID-19 bénéficient d'une crédibilité accrue puisqu'elles sont basées sur la comptabilité commerciale de l'entreprise requérante (arrêt du Tribunal fédéral 6B_95/2024 du 6 février 2025 consid. 2.4.2) – étant rappelé que la comptabilité commerciale et ses éléments offrent une garantie spéciale de véracité (arrêt du Tribunal fédéral 6B_394/2024 du 7 avril 2025 consid. 3.3). Du point de vue subjectif, le faux dans les titres est une infraction intentionnelle. L'intention doit porter sur tous les éléments constitutifs de l'infraction, le dol éventuel étant suffisant. Par ailleurs, l'art. 251 CP exige un dessein spécial, à savoir que l'auteur agisse afin de porter atteinte aux intérêts pécuniaires ou aux droits d'autrui ou de se procurer ou de procurer à un tiers un avantage illicite (ATF 141 IV 369 consid. 7.4). 3.1.3.1. L'art. 6 al. 1 de l'OCaS-COVID-19 du 25 mars 2020, entrée en vigueur le 26 mars 2020 (art. 25 al. 1 OCaS-COVID-19), dispose que le cautionnement solidaire a pour seul but de garantir les crédits bancaires destinés à satisfaire les besoins courants en liquidités du requérant. Sont exclus pendant la durée du cautionnement solidaire l’octroi de prêts actifs (al. 3 let. b). À teneur de l'art. 7 OCaS-COVID-19, le montant total cautionné s’élève à 10% au plus du chiffre d’affaires du requérant en 2019 ; si la clôture définitive de l’exercice 2019 n’est pas disponible, le résultat provisoire ou, si ce dernier fait également défaut, le chiffre d’affaires de 2018 font foi (al. 1). Si l’activité commerciale a débuté le 1 er janvier 2020 ou plus tard, ou si la durée de l’exercice est supérieure à une année en raison de la fondation de la société en 2019, est réputée chiffre d’affaires la masse salariale nette d’un exercice multipliée par trois, mais au moins CHF 100'000.- et au plus CHF 500'000.-. À moins qu’il n’ait commis une infraction plus grave au sens du CP, est puni d’une amende de CHF 100'000.- au plus quiconque, intentionnellement, obtient un crédit en vertu de la présente ordonnance en fournissant de fausses indications ou utilise les fonds en dérogation à l’art. 6 al. 3 (art. 23 OCaS-COVID-19). 3.1.3.2. La Loi fédérale sur les crédits garantis par un cautionnement solidaire à la suite du coronavirus [LCaS-COVID-19]) du 18 décembre 2020 définit le but des cautionnements solidaires octroyés en vertu de l'OCaS-COVID-19 du 25 mars 2020 et les utilisations illicites des fonds pendant la durée de ces cautionnements (art. 1 let. a). Le cautionnement solidaire au sens de l’OCaS-COVID-19 sert à garantir un crédit pour les besoins en liquidités du preneur de crédit à la suite de l’épidémie de COVID-19. Sont exclus pendant la durée du cautionnement solidaire l’octroi de prêts (art. 2 al. 1 et 2 let. b LCaS-COVID-19). L'art. 25 al. 1 LCaS-COVID-19 dispose : quiconque, de manière intentionnelle, obtient un crédit en vertu de l’OCaS-COVID-19 en fournissant de fausses indications ou viole une ou plusieurs prescriptions de l’art. 2 al. 2 est puni d’une amende de CHF 100'000.- au plus ; la commission d’une infraction pénale plus grave au sens du Code pénal est réservée. L’action pénale se prescrit par sept ans pour les contraventions au sens de la présente loi ; ce délai de prescription s’applique également aux infractions à l’OCaS-COVID-19, pour autant que la prescription de l’action pénale ne soit pas encore échue à l’entrée en vigueur de la présente loi (al. 2). 3.2.1. En l'espèce, en indiquant dans la demande de crédit COVID-19 que le chiffre d'affaires de C______ SA était de CHF 900'000.- alors que tel n'était pas le cas, ce montant s'avérant en effet surfait au regard de celui effectivement réalisé (CHF 748'135.68), l'intimé a procédé à une affirmation fallacieuse. Une telle affirmation revêtait un caractère astucieux, dès lors que D______ ne procédait pas au contrôle de l'information fournie, le but étant de procurer à l'intimé le soutien rapide et simplifié rendu nécessaire par les évènements (aide d'urgence). Dans l'erreur, D______ a procédé à un acte de disposition préjudiciable à ses intérêts, en versant à l'intimé davantage que ce à quoi il pouvait prétendre (10% au plus du chiffre d'affaires), ce qui a généré chez elle un dommage (provisoire). Les éléments constitutifs objectifs de l'escroquerie sont réalisés. En inscrivant CHF 900'000.- sous " Bloc 1 " de la demande de crédit, l'intimé a fourni à la banque une indication bénéficiant d'une crédibilité accrue, nécessaire à la réalisation du faux dans les titres. Plus précisément, il a créé et fait usage d'un faux intellectuel, l'utilisation du " Bloc 1 " constituant une assurance objective garantissant à D______ la véracité de la déclaration, le chiffre de CHF 900'000.- étant en effet sensé reposer sur une pièce de la comptabilité commerciale, laquelle dispose d'une valeur probante accrue. Les éléments constitutifs objectifs du faux dans les titres sont réalisés. En revanche, la demande de crédit litigieuse ne jouit pas d'une crédibilité accrue et ne tombe donc pas sous le coup de l'art. 251 CP en ce qu'elle assure que C______ SA était gravement atteinte sur le plan économique en raison de la pandémie – il est cependant notoire que les PME l'étaient, à l'époque – et que le crédit serait exclusivement utilisé pour assurer ses besoins courants de liquidités. 3.2.2. Reste à analyser les éléments subjectifs de ces infractions : ·         On ignore à quelle date la comptabilité 2019 a été clôturée. L'intimé allègue, sans être démenti, qu'il ne disposait pas (encore) du chiffre d'affaires (définitif ou provisoire) de l'exercice 2019 le 1 er avril 2020, lorsqu'il a rempli la demande de crédit. Le comptable ne fournit aucune indication à ce sujet. Quant aux pièces fiscales, qui contiennent les comptes de résultats, elles affichent les dates des 10 août, 2 et 3 septembre 2020, soit des dates postérieures au 1 er avril 2020. L'allégation du prévenu apparait ainsi vraisemblable. Dans ces conditions, celui-ci était fondé, en l'absence de comptabilité (2018 (jeune société) et 2019), à indiquer un " chiffre d'affaires estimé ", par essence incertain. ·         Les CHF 900'000.- estimés, extrapolés sur une année, n'apparaissent pas notablement supérieurs aux CHF 748'135.68 effectifs. Le prévenu s'est en outre expliqué sur cette différence (timing, transactions en liquide, mauvais payeurs, annulation massive de contrats, etc.) sans être contredit là non plus, de sorte qu'une intention dolosive n'apparait pas d'emblée donnée. Il semble que D______ elle-même ait estimé le chiffre d'affaires (partiel) 2019 à CHF 869'000.- ou qu'on l'ait informée d'un tel chiffre (" selon CS ") ; or ce montant est relativement proche de celui arrêté par l'intimé. ·         Il n'est pas contesté que C______ SA " avait droit " à une aide se montant à 10% du chiffre d'affaires définitif de 2019, selon l'accusation (" pour obtenir un prêt d'un montant supérieur à celui auquel il avait droit "), soit à une aide, in casu , d'environ CHF 74'800.-. Tromper la banque pour obtenir quelque CHF 15'000.- supplémentaires ferait donc peu de sens, sous cet angle. ·         Par ailleurs – et surtout – le dossier montre que le prévenu a utilisé la ligne de crédit mise à disposition de manière conforme à la convention, soit pour couvrir les besoins courants de liquidités de la société – du moins pour l'essentiel. L'analyse de la Brigade financière l'atteste, les dépenses s'inscrivant dans l'activité professionnelle de C______ SA (achats d'engins). Aucune utilisation abusive du crédit n'a au demeurant été constatée par D______, à teneur de ses notes de compliance. Il n'appert pas, partant, que le prévenu aurait eu dès le départ l'intention d'utiliser les fonds du crédit à d'autres fins que celles convenues, personnelles en particulier. Autant d'éléments qui suscitent un doute sur la volonté délictuelle de l'intimé. On ne saurait déduire du fait que le prévenu a rempli le " Bloc 1 " plutôt que le " Bloc 2 " une volonté de tromper. Il est vrai, faute de pouvoir se baser sur des comptes individuels, que l'intimé aurait dû remplir le " Bloc 2 " et que le chiffre d'affaires estimé, servant de base de calcul au crédit, n'aurait semble-t-il équivalu, dans ce cas, qu'à trois fois la masse salariale (CHF 180'000.-). Mais de là à y voir un acte délibéré / calculé de l'intimé, il y a un pas que l'on ne saurait franchir. Le formulaire demeure somme toute peu clair et ce fait n'est pas incriminé dans l'acte d'accusation (art. 9 et 350 al. 1 CPP). De même, le fait que le prévenu a évolué dans ses déclarations au sujet de la participation (active) du comptable à la demande de crédit et à l'estimation du chiffre d'affaires, démentie par le témoin, relève sans doute d'une maladroite tentative de dédouanement, sans que l'on doive y voir la preuve qu'il aurait tenté de flouer D______. Déterminer si l'intimé a pu croire de bonne foi qu'il n'était pas tenu de rembourser la ligne de crédit après la rupture de sa relation d'affaires avec D______ ne s'avère pas utile / décisif pour le surplus – encore que ses allégations à ce sujet sont en partie étayées par le courrier du 7 octobre 2020. En conclusion, il n'est pas démontré que l'intimé ait sciemment, avec conscience et volonté (art. 12 al. 2 CP), indiqué un chiffre d'affaires excessif, en connaissance de cause des implications pénales d'un tel comportement, dans le but de tromper la banque et de prodiguer un enrichissement illégitime / avantage illicite à sa société, en sachant que celle-ci allait bénéficier de liquidités obtenues de manière indue. Les éléments subjectifs des crimes d'escroquerie et de faux dans les titres font défaut. À tout le moins ne sont-ils pas démontrés. 3.2.3. Une réserve s'impose. Le prévenu s'est servi de son compte commercial pour verser la pension alimentaire revenant à son épouse (CHF 1'000.-) et concéder un prêt à un ami (CHF 1'000.-). Certes, son compte personnel auprès de D______ venait d'être clôturé. Il n'en reste pas moins qu'il a utilisé la ligne de crédit en dérogation à la convention, ce qui tombe sous le coup de l'OCaS-COVID-19 – la LCaS-COVID-19 n'était pas encore entrée en vigueur au moment des faits. Dans ces conditions, le jugement entrepris sera confirmé et l'appel rejeté.</w:t>
      </w:r>
    </w:p>
    <w:p>
      <w:r>
        <w:rPr>
          <w:b/>
        </w:rPr>
        <w:t>E. 4</w:t>
      </w:r>
    </w:p>
    <w:p>
      <w:r>
        <w:t>B______ sera mis à l'amende. Le montant de CHF 300.- fixé par le premier juge n'étant pas discuté, il sera confirmé.</w:t>
      </w:r>
    </w:p>
    <w:p>
      <w:r>
        <w:rPr>
          <w:b/>
        </w:rPr>
        <w:t>E. 5</w:t>
      </w:r>
    </w:p>
    <w:p>
      <w:r>
        <w:t>5.1.1. Aux termes de l'art. 122 al. 1 CPP, en qualité de partie plaignante, le lésé peut faire valoir des conclusions civiles déduites de l'infraction par adhésion à la procédure pénale. Il en découle que lorsque l'autorité pénale abandonne un pan de l'accusation, le lésé ne peut pas prétendre à l'octroi de conclusions fondées sur les faits laissés de côté (arrêt du Tribunal fédéral 6B_987/2023 du 21 février 2024 consid. 1.2.1). 5.1.2. L'art. 122 al. 1 CPP permet de conclure que la notion de conclusions civiles ne vise pas toutes les prétentions de droit privé, mais uniquement celles qui peuvent se déduire d'une infraction pénale, ce qui n'est pas le cas des prétentions contractuelles. Ces prétentions ne peuvent faire l'objet d'une action civile par adhésion à la procédure pénale et sont donc exclues du champ d'application de cette disposition. Pour de telles prétentions, la partie plaignante doit donc être renvoyée à agir par la voie civile (ATF 148 IV 432 consid. 3.2.4 et 3.3).</w:t>
      </w:r>
    </w:p>
    <w:p>
      <w:r>
        <w:rPr>
          <w:b/>
        </w:rPr>
        <w:t>E. 5.2</w:t>
      </w:r>
    </w:p>
    <w:p>
      <w:r>
        <w:t>En l'occurrence, l'intimé est libéré des infractions d'escroquerie et de faux dans les titres. L'appelante ne peut donc prétendre à l'octroi de conclusions civiles reposant sur ces faits. Elle doit être déboutée des fins de son action. La contravention à l'OCaS-COVID-19 n'est susceptible de fonder que les (seuls) CHF 2'000.- d'ores et déjà versés à ce titre. D'éventuelles prétentions contractuelles tirées du cautionnement solidaire (art. 492ss du Code des obligations [CO]) sont à faire valoir par-devant le juge civil.</w:t>
      </w:r>
    </w:p>
    <w:p>
      <w:r>
        <w:rPr>
          <w:b/>
        </w:rPr>
        <w:t>E. 6.1</w:t>
      </w:r>
    </w:p>
    <w:p>
      <w:r>
        <w:t>L'appelante, qui succombe, supportera les frais de la procédure envers l'État, qui comprennent un émolument de décision de CHF 2'000.- (art. 428 al. 1 CPP et 14 al. 1 let. e du Règlement fixant le tarif des frais en matière pénale [RTFMP]). La décision sur les frais préjugeant de la question de l'indemnisation (ATF 147 IV 47 consid. 4.1), l'appelante verra ses conclusions en indemnisation rejetées (art. 433 al. 1 let. a et 436 al. 1 CPP).</w:t>
      </w:r>
    </w:p>
    <w:p>
      <w:r>
        <w:rPr>
          <w:b/>
        </w:rPr>
        <w:t>E. 6.2</w:t>
      </w:r>
    </w:p>
    <w:p>
      <w:r>
        <w:t>Bien qu'interpellé et enjoint à chiffrer et justifier d'éventuelles prétentions en indemnisation par mandat de comparution du 18 mars 2025, le prévenu n'a pas réagi. Son comportement passif équivaut à renonciation (art. 429 CPP ; arrêt du Tribunal fédéral 6B_842/2014 du 3 novembre 2014 consid. 2.1).</w:t>
      </w:r>
    </w:p>
    <w:p>
      <w:r>
        <w:rPr>
          <w:b/>
        </w:rPr>
        <w:t>E. 6.3</w:t>
      </w:r>
    </w:p>
    <w:p>
      <w:r>
        <w:t>Il n'y a pas lieu de revoir les frais et indemnités fixés par l'autorité inférieure (art. 428 al. 3 et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