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P/21535/2021 vom 12. Mai 2022</w:t>
      </w:r>
    </w:p>
    <w:p>
      <w:r>
        <w:t>GE Cour de justice, 2022-05-12, FR</w:t>
      </w:r>
    </w:p>
    <w:p>
      <w:r>
        <w:rPr>
          <w:b/>
        </w:rPr>
        <w:t xml:space="preserve">Quelle: </w:t>
      </w:r>
      <w:r>
        <w:t>https://mcp.opencaselaw.ch/entscheid/ge_gerichte_P_21535_2021</w:t>
      </w:r>
    </w:p>
    <w:p>
      <w:r>
        <w:t>FR: GE_GERICHTE P/21535/2021 du 12 mai 2022</w:t>
      </w:r>
    </w:p>
    <w:p>
      <w:r>
        <w:t>IT: GE_GERICHTE P/21535/2021 del 12 maggio 2022</w:t>
      </w:r>
    </w:p>
    <w:p>
      <w:pPr>
        <w:pStyle w:val="Heading2"/>
      </w:pPr>
      <w:r>
        <w:t>Regeste</w:t>
      </w:r>
    </w:p>
    <w:p>
      <w:r>
        <w:t>ORDONNANCE DE NON-ENTRÉE EN MATIÈRE;QUALITÉ POUR AGIR ET RECOURIR;EXPOSITION À UN DANGER;OMISSION DE PRÊTER SECOURS;MISE EN DANGER DE LA VIE D'AUTRUI(ART. 129 CP);VIOLATION DES RÈGLES DE L'ART DE CONSTRUIRE | CPP.310; CPP.382; CPP.115; CP.127; CP.128; CP.129; CP.229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 succombe (art. 428 al. 1 CPP). Il supportera, en conséquence, les frais envers l'État, fixés en totalité à CHF 1’000.- (art. 3 cum 13 al. 1 du Règlement fixant le tarif des frais en matière pénale, RTFMP; E 4 10.03). Cette somme sera prélevée sur les sûretés versées.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