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P/21447/2022 vom 7. Juni 2024</w:t>
      </w:r>
    </w:p>
    <w:p>
      <w:r>
        <w:t>GE Cour de justice, 2024-06-07, FR</w:t>
      </w:r>
    </w:p>
    <w:p>
      <w:r>
        <w:rPr>
          <w:b/>
        </w:rPr>
        <w:t xml:space="preserve">Quelle: </w:t>
      </w:r>
      <w:r>
        <w:t>https://mcp.opencaselaw.ch/entscheid/ge_gerichte_P_21447_2022</w:t>
      </w:r>
    </w:p>
    <w:p>
      <w:r>
        <w:t>FR: GE_GERICHTE P/21447/2022 du 7 juin 2024</w:t>
      </w:r>
    </w:p>
    <w:p>
      <w:r>
        <w:t>IT: GE_GERICHTE P/21447/2022 del 7 giugno 2024</w:t>
      </w:r>
    </w:p>
    <w:p>
      <w:pPr>
        <w:pStyle w:val="Heading2"/>
      </w:pPr>
      <w:r>
        <w:t>Regeste</w:t>
      </w:r>
    </w:p>
    <w:p>
      <w:r>
        <w:t>LStup.19; LStup.19; LStup.19; LStup.19; LEI.115; LEI.115; CP.291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Les violations graves de la LStup, au sens de l'art. 19 al. 2 LStup, sont réprimées d'une peine privative de liberté d'un à 20 ans au plus. L'infraction de rupture de ban de l'art. 291 CP est quant à elle sanctionnée d'une peine privative de liberté de trois ans au plus ou d'une peine pécuniaire. Enfin, les infractions d'entrée illégale, selon l'art. 115 al. 1 let. a LEI, et de séjour illégal, selon l'art. 115 al. 1 let. b LEI, sont punies d'une peine privative de liberté d'un an au plus ou d'une peine pécuniaire. Les différents actes visés par l'art. 19 al. 1 LStup constituent des infractions indépendantes (ATF 142 IV 401 consid. 3.3.2 ; 133 IV 187 consid. 3.2 ; 119 IV 266 consid. 3a ; 118 IV 397 consid. 2c ; arrêts du Tribunal fédéral 6B_1248/2017 du 21 février 2019 consid. 6.4.2 ; 6B_211/2018 du 3 octobre 2018 consid. 8.3). L'art. 19 al. 1 let. g LStup est une règle spéciale de l'art. 22 CP, qui punit la tentative et même les actes préparatoires aux autres comportements réprimés par l'art. 19 al. 1 LStup (ATF 138 IV 100 consid. 3.2 ; 133 IV 187 consid. 3.3 ; 130 IV 131 consid. 2.1). En conséquence, elle ne trouve pas application lorsque ledit comportement punissable est achevé (ATF 130 IV 131 consid. 2.1 ; arrêts du Tribunal fédéral 6B_518/2014 du 4 décembre 2014 consid. 10.4.3 ; 6B_969/2010 du 31 mars 2011 consid 2.1.2 ; Obergericht BE, SK 18 87 du 23 août 2018 consid. 11.4 ; S. SCHLEGEL/O. JUCKER, OFK Kommentar BetmG, 4 ème éd. 2022, n. 98 ad art. 19 LStup). L'art. 19 al. 2 LStup consacre quant à lui une infraction indépendante constituant une forme qualifiée des infractions réprimées par l'art. 19 al. 1 LStup, l'ATF 138 IV 100 consid. 3.5 ayant a priori implicitement renversé sur ce point la jurisprudence antérieure qui considérait qu'il s'agissait d'une circonstance aggravante (cf. ATF 124 IV 97 consid. 2c ; 124 IV 91 consid. 2c et 2d ; 122 IV 360 consid. 2b), sans qu'il soit nécessaire de trancher formellement cette question, débattue en doctrine, dans le présent cas d'espèce. 2.1.2.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2.1.3.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L'utilisation par le prévenu de son droit à ne pas coopérer volontairement à la procédure pénale a un effet neutre sur la peine (ATF 149 IV 9 consid. 5.1.3). L'art. 47 CP confère un large pouvoir d'appréciation au juge (ATF 149 IV 395 consid. 3.6.1 ; 144 IV 313 consid. 1.2 ; 135 IV 130 consid. 5.3.1). En matière d'infractions à l'art. 19 LStup, la quantité nette de drogue en cause et le rôle joué par l'auteur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 6B_107/2013 du 15 mai 2013 consid. 2.1). Le degré de pureté des stupéfiants ne joue un rôle distinct de la quantité de drogue concernée que lorsque qu'il est notablement plus faible ou plus élevé que l'usage (ATF 122 IV 299 consid. 2c ; voir également : ATF 121 IV 193 consid. 2b/aa). Outre les critères susmentionnés, il faut prendre en compte le type de drogue, le nombre d'opérations en cause, et la nature et l'étendue du trafic, en particulier le fait que l'auteur ait ou non agi comme membre d'une organisation et, le cas échéant, sa position au sein de celle-ci et sa nature locale ou internationale, au moment de fixer la peine ; eu égard par ailleurs au mobile, il convient de faire une différence entre le toxicomane qui agit pour financer sa propre consommation et l'auteur qui participe à un trafic uniquement poussé par l'appât du gain (arrêts du Tribunal fédéral 6B_1009/2023 du 12 mars 2024 consid. 4.1 ; 6B_912/2023 du 18 octobre 2023 consid. 3.1.1 ; 6B_1036/2022 du 15 mai 2023 consid. 3.1 ; 6B_757/2022 du 26 octobre 2022 consid. 2.2 ; 6B_184/2021 du 16 décembre 2021 consid. 1.1). 2.1.4.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2.1.5. Selon l'art. 89 al. 1 et 2 CP, si le détenu libéré conditionnellement commet un crime ou un délit durant le délai d'épreuve, le juge qui connaît de la nouvelle infraction ordonne sa réintégration, sauf s'il n'y a pas lieu de craindre qu'il ne commette de nouvelles infractions. Le pronostic de récidive doit sur la base de l'ensemble des circonstances, et notamment des antécédents de l'auteur, de sa personnalité et de son comportement en détention, en particulier de sa prise de conscience, et de son intégration sociale en cas de libération (ATF 133 IV 201 consid. 2.3). En cas de réintégration couplée au prononcé d'une nouvelle peine privative de liberté ferme, l'art. 86 al. 6 prévoit la fixation d'une peine d'ensemble, sur le modèle de l'art. 49 al. 1 CP (ATF 135 IV 146 consid. 2.4.1 et 2.4.2). 2.2.1. Eu égard à l'appelant A______, il faut retenir que la quantité d'héroïne concernée, à savoir 5'089.5 kilogrammes de mélange destiné à la consommation, est particulièrement conséquente. Son taux de pureté moyen de 24.52% se situe dans le tiers médian supérieur de la drogue brute saisie en Europe (cf. Observatoire européen des drogues et des toxicomanies [dès le 2 juillet 2024 : Agence de l'Union européenne sur les drogues], European Drug Report 2023, Heroin and other opioids, 16 juin 2023 : https://www.emcdda.europa.eu/publications/european-drug-report/ 2023/heroin-and-other-opioids_en). En outre, il est notoire que l'héroïne est considérée par la communauté scientifique comme un stupéfiant faisant partie des plus dangereux, si ce n'est le plus dangereux, sur le plan sanitaire et social (cf. par exemple : M. TAYLOR/K. MACKAY/J. MURPHY et all., Quantifying the RR of harm to self and others from substance misuse: results from a survey of clinical experts across Scotland, British Medical Journal, 24 juillet 2012, pp. 3 à 5 ; D. NUTT/L.A. KING/W. SAULSBURY/C. BLAKEMORE, Development of a rational scale to assess the harm of drugs of potential misuse, The Lancet, vol. 369, 24 mars 2007, pp. 1050s.). Partant, l'atteinte à la santé et à la sécurité publique causée par le comportement de l'appelant doit être qualifiée de très importante. A______ faisait partie d'un trafic organisé, avec des ramifications internationales. Dans ce cadre, il a disposé d'une certaine infrastructure dès son arrivée à Genève, en particulier de multiples faux documents d'identité. Son rôle dans l'organisation qu'il servait ne saurait être sous-estimé, contrairement à ce qu'affirme la défense. Tout d'abord, la quantité de drogue laissée sous sa garde excède ce qui est usuel pour des collaborateurs subalternes. Peu importent à ce stade les motifs pour lesquels son réseau n'avait pas à douter de sa loyauté, le fait est qu'il disposait de la confiance de ses supérieurs. La protection dont il a initialement bénéficié de la part de D______, sa mise au bénéfice de la chambre à coucher malgré son arrivée postérieure dans l'appartement de la rue 1______, ainsi que sa prise de risque limitée, dans la mesure où il n'a pas fait commerce dans la rue de la marchandise sous sa garde, permettent de conclure qu'il bénéficiait d'une position à tout le moins de cadre inférieur, plus élevée que celle de son coprévenu, ce qui est d'ailleurs cohérent avec l'importance de ses condamnations antérieures. La période pénale concernée par le trafic a été brève mais intense, comme le révèle la note manuscrite retrouvée dans l'appartement qui fait mention d'une activité quotidienne sur la période du 9 septembre au 10 octobre 2022. L'appelant est venu en Suisse uniquement pour participer illicitement à un trafic international de stupéfiants. Sur ce point, son affirmation selon laquelle il n'aurait appris sa mission qu'à son arrivée, bien qu'il eût été envoyé par le même commanditaire que lors de ses infractions antérieures, n'est pas crédible. L'appelant n'est pas héroïnomane et n'agissait ainsi pas pour assurer sa propre consommation. Son mobile était l'appât du gain. Le lien entre les frais médicaux de M______ réalisés en 2019 et ses agissements objets de la présente procédure n'est pas établi. Les documents produits en première instance mettent d'ailleurs en doute ses déclarations en appel puisqu'il a affirmé qu'il était entré dans le trafic de drogue à cause des frais d'une maladie cardiaque de sa mère, alors même que sa première condamnation par le MP en 2018 porte sur des faits ayant eu lieu le 13 août 2018, soit environ neuf mois avant les premières factures, lesquelles concernent de surcroît supposément sa grand-mère. Dans l'ensemble la culpabilité de l'appelant A______ doit donc être qualifiée de très lourde. Sa faute est encore aggravée par ses antécédents spécifiques et notables en matière de trafic de stupéfiants. Sa coopération ne saurait être qualifiée de bonne, contrairement à ce qu'a retenu le TCO. En effet, il n'a essentiellement admis que les faits confinant à l'évidence, niant tant que cela était possible ce qui pouvait l'être, notamment son activité de coupage de la drogue. Il n'a par ailleurs pas fourni les mots de passe nécessaires à déchiffrer les appareils séquestrés retrouvés à la rue 1______. Quant à sa prise de conscience alléguée, il convient de la relativiser au vu de cette absence de coopération et de ses nombreux et récents antécédents. En tout état de cause, on ne saurait se contenter sur ce point du rapport des médecins du SMP, selon lequel il se montrerait authentiquement critique face à son implication passée dans le trafic de drogue et apprendrait à mieux se connaître et à prendre soin de lui, vu la relation thérapeutique. Enfin, sa situation personnelle n'explique pas ses actes, dans la mesure où il apparaît être une personne intelligente, disposant d'une qualification supérieure. Au vu de ce qui précède, il convient de retenir des peines hypothétiques de 48 mois pour la violation de l'art. 19 al. 2 let. a LStup en lien avec l'art. 19 al. 1 let. d LStup (pour la possession) et de 36 mois pour la violation de l'art. 19 al. 2 let. a LStup en lien avec l'art. 19 al. 1 let. g LStup (pour le coupage ; cf. ATF 130 IV 131 consid. 2.1). 2.2.2. En ce qui concerne la rupture de ban, même si la période pénale est réduite, la faute de l'appelant ne peut être qualifiée de faible dès lors qu'il est revenu en Suisse dans le seul but de commettre des crimes malgré sa condamnation récente par la justice pénale suisse à une expulsion d'une durée clémente de cinq ans. Ses antécédents spécifiques doivent être pris en compte en sa défaveur. Pour le reste il est renvoyé aux développements précédents relatifs à sa situation personnelle. À cet égard, une peine hypothétique de 18 mois de peine privative de liberté est appropriée, seule une peine privative de liberté apparaissant efficace au vu de de ce qui précède. 2.2.3. L'appelant a été libéré conditionnellement le 27 septembre 2021, avec un solde de peine de huit mois et un jour. Au vu de ses antécédents et de la promptitude avec laquelle il a récidivé, son pronostic sur ce point est assurément négatif. Il y a donc lieu de confirmer la réintégration ordonnée par le TCO. Il apparaît en revanche que celui-ci a omis de se prononcer sur la révocation du sursis dont l'appelant bénéficiait eu égard à la peine privative de liberté de 100 jours qui lui a été infligée par le MP le 14 août 2018, peine dont le délai d'épreuve courait jusqu'au 13 février 2023. Faute de conclusion en ce sens de l'accusation, cette absence de révocation sera maintenue en vertu du principe de l'interdiction de la reformatio in pejus (cf. art. 391 al. 2 CPP). 2.2.4. L'infraction la plus grave commise par A______ est celle de l'art. 19 al. 2 let. a LStup en lien avec l'art. 19 al. 1 let. d LStup. Il faut ainsi se fonder sur les 48 mois de peine privative de liberté y relatifs, en tant que peine principale, et y ajouter 24 mois (peine hypothétique de 36 mois) au titre de l'art. 19 al. 2 let. a LStup en lien avec l'art. 19 al. 1 let. g LStup, 12 mois (peine hypothétique de 18 mois) au titre de la rupture de ban et encore six mois en lien avec sa réintégration (peine hypothétique de huit mois et un jour). La peine privative de liberté d'ensemble de l'appelant devrait donc s'élever à sept ans et demi de peine privative de liberté (90 mois). Dans la mesure où il a été condamné à une peine de six ans en première instance, cette durée sera maintenue en vertu de l'art. 391 al. 2 CPP. Son appel sera ainsi rejeté. 2.3.1. La culpabilité de l'appelant D______ est importante eu égard aux infractions de commerce illégal de stupéfiants pour lesquelles il a été condamné. Comme mentionné plus haut, la quantité de drogue en cause et le fait qu'il s'agisse principalement d'héroïne sont des éléments cardinaux. L'appelant a en outre officié au sein d'une organisation internationale et bénéficié de la mise à disposition de faux papiers, ce qui accroît sa faute en comparaison avec un vendeur de rue au service d'un réseau local. En revanche, son rôle en tant que subordonné apparaît moins déterminant dans la mise en œuvre du trafic. Son mobile était l'appât du gain. Son allégation selon laquelle il avait pour objectif de rembourser des dettes en Albanie ne trouve aucun appui dans les éléments au dossier de la procédure et ne rend pas son dessein méritoire. Il est venu en Suisse uniquement afin de réaliser des crimes. Sa situation personnelle n'explique pas ses actes. Son casier judiciaire comporte un antécédent spécifique, quoique sous la forme d'une violation simple de l'art. 19 LStup. Sa coopération a été mauvaise. Il a dans un premier temps tenté de protéger son comparse et n'a collaboré que face aux preuves recueillies par les autorités de poursuite, sans leur fournir d'information nouvelle. Son comportement au cours de la procédure démontre que sa prise de conscience est au mieux au stade d'ébauche. Au vu de ce qui précède, il convient de retenir des peines hypothétiques de 18 mois pour la violation de l'art. 19 al. 2 let. a LStup en lien avec l'art. 19 al. 1 let. c LStup (pour les vente établies), de 30 mois pour la violation de l'art. 19 al. 2 let. a LStup en lien avec l'art. 19 al. 1 let. d LStup (pour la possession) et de 22 mois pour la violation de l'art. 19 al. 2 let. a LStup en lien avec l'art. 19 al. 1 let. g LStup (pour le coupage et les dispositions prises pour écouler la drogue). 2.3.2. La faute de l'appelant s'agissant des infractions d'entrée et de séjour illégaux sur le territoire suisse peut être qualifiée de moyenne. En effet, si la période pénale est relativement brève, il est récidiviste et a violé le droit des étrangers et une décision d'interdiction d'entrée du 14 janvier 2020 dans le seul but de réaliser des crimes en Suisse. Sa résipiscence est inexistante. Au vu de l'absence de prise de conscience de l'appelant et de son impécuniosité, il se justifie de prononcer à son encontre une peine privative de liberté. Partant, une peine hypothétique de 90 jours (trois mois) de peine privative de liberté doit être retenue pour la violation de l'art. 115 al. 1 let. a LEI et une autre peine hypothétique de même durée et nature pour la violation de l'art. 115 al. 1 let. b LEI. 2.3.3. L'infraction la plus grave commise par D______ est celle de l'art. 19 al. 2 let. a LStup en lien avec l'art. 19 al. 1 let. d LStup. Il faut ainsi se fonder sur les 30 mois de peine privative de liberté y relatifs et y ajouter 12 mois (peine hypothétique de 18 mois) au titre de l'art. 19 al. 2 let. a LStup en lien avec l'art. 19 al. 1 let. d LStup, 14 mois (peine hypothétique de 22 mois) au titre de l'art. 19 al. 2 let. a LStup en lien avec l'art. 19 al. 1 let. g LStup, deux mois (peine hypothétique de trois mois) au titre de l'art. 115 al. 1 let. a LEI et également deux mois (peine hypothétique de trois mois) au titre de l'art. 115 al. 1 let. b LEI. La peine privative de liberté d'ensemble de l'appelant s'élève donc à cinq ans de peine privative de liberté (60 mois), comme l'a à juste titre retenu le TCO. L'appel de D______ sera ainsi rejeté sur ce point et le jugement de l'autorité précédente confirmé.</w:t>
      </w:r>
    </w:p>
    <w:p>
      <w:r>
        <w:rPr>
          <w:b/>
        </w:rPr>
        <w:t>E. 3.1</w:t>
      </w:r>
    </w:p>
    <w:p>
      <w:r>
        <w:t>Selon l'art. 66a al. 1 let. o CP, l'étranger qui est condamné du chef d'infraction grave à la LStup au sens de l'art. 19 al. 2 LStup est obligatoirement expulsé de Suisse pour une durée de cinq à 15 ans. La durée d'une expulsion pénale doit être fixée sur la base de la culpabilité de l'auteur et du risque pour la sécurité publique, ainsi que de l'intensité des liens du condamné avec la Suisse (arrêts du Tribunal fédéral 6B_1301/2023 du 11 mars 2024 consid. 4.3 ; 7B_728/2023 du 30 janvier 2024 consid. 3.6.1 ; 6B_500/2023 du 20 novembre 2023 consid. 4.3.1 ; 6B_1079/2022 du 8 février 2023 consid. 9.2.1). Le juge pénal dispose à cet égard d'une large marge d'appréciation (arrêts du Tribunal fédéral 6B_1301/2023 du 11 mars 2024 consid. 4.3 ; 7B_728/2023 du 30 janvier 2024 consid. 3.6.1 ; 6B_1079/2022 du 8 février 2023 consid. 9.2.2).</w:t>
      </w:r>
    </w:p>
    <w:p>
      <w:r>
        <w:rPr>
          <w:b/>
        </w:rPr>
        <w:t>E. 3.2</w:t>
      </w:r>
    </w:p>
    <w:p>
      <w:r>
        <w:t>En l'espèce, la culpabilité de D______ est importante. Il n'a aucun lien avec la Suisse. Il est de surcroît récidiviste avec une coopération médiocre à la procédure et une prise de conscience minimale, ce qui laisse conclure qu'il représente un risque élevé pour l'ordre public helvétique. À cette aune, une expulsion d'une durée de dix ans apparaît justifiée. En conséquence, l'expulsion pour une durée de dix ans prononcée par le TCO sera maintenue et l'appel de D______ rejeté sur ce point.</w:t>
      </w:r>
    </w:p>
    <w:p>
      <w:r>
        <w:rPr>
          <w:b/>
        </w:rPr>
        <w:t>E. 4.1</w:t>
      </w:r>
    </w:p>
    <w:p>
      <w:r>
        <w:t>Depuis le 7 mars 2023, l'inscription de l'expulsion dans le SIS est régie par le règlement (UE) n° 2018/1861 du Parlement européen et du Conseil du 28 novembre 2018 (SIS Frontières). Le présent arrêt étant rendu postérieurement à cette date, c'est bien le SIS Frontières qui est pertinent, le principe de la lex mitior de l'art. 2 CP ne trouvant pas application à l'inscription dans le SIS (ATF 149 IV 361 consid. 1.6 ; AARP/139/2023 du 11 avril 2023 consid. 6.1). L'art. 24 § 1 let. a du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SIS Frontières, une telle situation existe notamment lorsqu'un ressortissant d'un pays tiers a été condamné pour une infraction passible d'une peine privative de liberté d'au moins un an. L'art. 21 du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SIS Frontières sont remplies, un signalement de non-admission doit être réalisé dans le SIS ( AARP/2/2024 du 13 décembre 2023 consid 7.1 ; en ce sens également : ATF 147 IV 340 consid. 4.9 ; 146 IV 172 consid. 3.2.2).</w:t>
      </w:r>
    </w:p>
    <w:p>
      <w:r>
        <w:rPr>
          <w:b/>
        </w:rPr>
        <w:t>E. 4.2</w:t>
      </w:r>
    </w:p>
    <w:p>
      <w:r>
        <w:t>En l'occurrence, la faute de D______ est importante, ce qui se reflète dans sa peine, cinq fois supérieure au seuil prévu par l'art. 24 § 2 let. a du SIS Frontières. Il est de surcroît récidiviste avec une résipiscence timorée. Il représente ainsi un danger pour l'ordre public européen, de sorte qu'un lien exceptionnellement étroit avec un État de l'espace Schengen serait nécessaire pour renoncer à une inscription au SIS. Tel n'est indubitablement pas le cas d'une vague possibilité de travailler à l'avenir en Grèce, évoquée à l'audience d'appel. Il s'ensuit que l'inscription au SIS de son expulsion de Suisse pour une durée de dix ans s'impose. L'appel doit en conséquence être rejeté dans son entièreté.</w:t>
      </w:r>
    </w:p>
    <w:p>
      <w:r>
        <w:rPr>
          <w:b/>
        </w:rPr>
        <w:t>E. 5.1</w:t>
      </w:r>
    </w:p>
    <w:p>
      <w:r>
        <w:t>Selon l'art. 423 al. 1 CPP, les frais de procédure sont mis à la charge du canton qui a conduit la procédure, sous réserve d'une autre règle d'imputation prévue par le CPP. Selon l'art. 428 al. 3 CPP, si l'autorité d'appel rend une nouvelle décision, elle se prononce également sur les frais fixés par l'autorité inférieure.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ainsi déterminant (ATF 142 IV 163 consid. 3.2.1).</w:t>
      </w:r>
    </w:p>
    <w:p>
      <w:r>
        <w:rPr>
          <w:b/>
        </w:rPr>
        <w:t>E. 5.2</w:t>
      </w:r>
    </w:p>
    <w:p>
      <w:r>
        <w:t>Eu égard aux frais de première instance, il n'y a pas lieu de les modifier vu la condamnation des appelants. En ce qui concerne la procédure d'appel, les appelants succombent entièrement, l'objet de l'appel de D______ étant cependant un peu plus étendu que celui de A______. En conséquence, le premier supportera 3/5 èmes des frais y relatifs, lesquels s'élèvent à CHF 2'195.-, y compris un émolument d'arrêt de CHF 1'800.-, et le second les 2/5 èmes restants.</w:t>
      </w:r>
    </w:p>
    <w:p>
      <w:r>
        <w:rPr>
          <w:b/>
        </w:rPr>
        <w:t>E. 6.1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de CHF 150.- pour un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10% lorsque l'état de frais total porte sur plus de trente heures, et de 20% en deçà, pour couvrir les démarches diverses, telles la rédaction de courriers ou notes, les entretiens téléphoniques et la lecture de communications, pièces et décisions ( AARP/5/2024 du 12 décembre 2023 consid. 9.1 ; AARP/393/2023 du 1 er novembre 2023 consid. 8.1). Le temps de déplacement de l'avocat est considéré comme nécessaire pour la défense ; la rémunération forfaitaire de la vacation aller/retour au et du Palais de justice est arrêtée à CHF 100.- pour un chef d'étude ( AARP/5/2024 du 12 décembre 2023 consid. 9.1 ; AARP/207/2023 du 21 juin 2023 consid. 9.1) et à CHF 75.- pour un avocat collaborateur ( AARP/371/2023 du 27 octobre 2023 consid. 8.3 ; AARP/291/2023 du 18 août 2023 consid. 12.3). Dans le cas des prévenus en détention provisoire, une visite par mois jusqu'au prononcé du jugement ou de l'arrêt cantonal est admise, indépendamment des besoins de la procédure, pour tenir compte de la situation particulière de la personne détenue ; en principe, le temps maximal admissible pour les visites dans les établissements du canton est d'une heure et 30 minutes, quel que soit le statut de l'avocat concerné, ce qui comprend le temps de déplacement ( AARP/320/2023 du 22 août 2023 consid. 10.3 ; AARP/245/2023 du 13 juillet 2023 consid. 11.3 ; AARP/76/2023 du 9 mars 2023 consid. 5.3 ; AARP/181/2017 du 30 mai 2017 consid. 8.2.2.2 et 8.3.5). 6.2.1. Les dix heures et 10 minutes mentionnées sur l'état de frais déposé par M e C______, audience d'appel incluse, apparaissent adéquates à l'aune d'une défense efficace de son mandant malgré l'objet limité de son appel. Sa rémunération sera par conséquent arrêtée à CHF 2'746.60 correspondant à 10.17 heures d'activité au tarif de CHF 200.-/heure (CHF 2'034.-), plus la majoration forfaitaire de 20% (CHF 406.80), le déplacement forfaitaire de CHF 100.- et l'équivalent de la TVA au taux de 8.1% (CHF 205.80). 6.2.2. L'état de frais de M e E______, doit quant à lui être réduit à sept heures s'agissant du travail de fond du dossier en vue de l'audience d'appel, dès lors que la cause était factuellement et juridiquement simple. La prise en charge des parloirs sera réduite à six heures, dans la mesure d'une part où, faute d'indication d'un motif particulier, la cause ne justifiait pas deux conférences en moins de sept jours en mai et, d'autre part, où l'autorité de jugement n'est pas compétente pour indemniser de potentielles prestations après la notification du jugement d'appel. Il faut noter que si la durée des parloirs prises en charge est plus élevée que celle qui qui ressort sans ambiguïté des factures de l'interprète, cette différence se justifie par la prise en charge du déplacement de l'avocat, contrairement à ce qui est en principe le cas pour les interprètes. Le travail total à indemniser s'élève donc à 15 heures et 40 minutes. Sa rémunération sera ainsi arrêtée à CHF 2'875.45 correspondant à 15.67 heures d'activité au tarif de CHF 150.-/heure (CHF 2'350.50) plus la majoration forfaitaire de 10% (CHF 235.05), le déplacement forfaitaire de CHF 75.-, et l'équivalent de la TVA au taux de 8.1% (CHF 214.90) [y compris la réduction de CHF 0.60 pour le travail soumis à une TVA de 7.7%]). À cela s'ajoute les quatre heures et 30 minutes de factures d'interprète à CHF 100.- (conférence du 16 mai 2024 exclue), soit un total de CHF 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