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P/21430/2018 vom 24. September 2020</w:t>
      </w:r>
    </w:p>
    <w:p>
      <w:r>
        <w:t>GE Cour de justice, 2020-09-24, FR</w:t>
      </w:r>
    </w:p>
    <w:p>
      <w:r>
        <w:rPr>
          <w:b/>
        </w:rPr>
        <w:t xml:space="preserve">Quelle: </w:t>
      </w:r>
      <w:r>
        <w:t>https://mcp.opencaselaw.ch/entscheid/ge_gerichte_P_21430_2018</w:t>
      </w:r>
    </w:p>
    <w:p>
      <w:r>
        <w:t>FR: GE_GERICHTE P/21430/2018 du 24 septembre 2020</w:t>
      </w:r>
    </w:p>
    <w:p>
      <w:r>
        <w:t>IT: GE_GERICHTE P/21430/2018 del 24 settembre 2020</w:t>
      </w:r>
    </w:p>
    <w:p>
      <w:pPr>
        <w:pStyle w:val="Heading2"/>
      </w:pPr>
      <w:r>
        <w:t>Regeste</w:t>
      </w:r>
    </w:p>
    <w:p>
      <w:r>
        <w:t>SURSIS PARTIEL À L'EXÉCUTION DE LA PEINE | LCR.90; CP.19; CP.42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l'opposition, l'acte délictueux consiste à se comporter de telle manière qu'une mesure d'investigation de l'incapacité de conduire ne puisse pas être exécutée, à tout le moins momentanément, que ce soit en raison d'une résistance active ou passive de l'auteur. L'opposition suppose en principe que la mesure a déjà été ordonnée.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 du Tribunal fédéral 6B_158/2019 du 12 mars 2019 consid. 1.1.1). Sur le plan subjectif, l'infraction est intentionnelle, le dol éventuel étant suffisant (ATF 131 IV 36 consid. 2.2.1 p. 39 s'agissant de l'art. 91 al. 3 aLCR). Aucun dessein spécial n'est requis. Il n'est ainsi pas déterminant que l'auteur se soit senti ou non en incapacité de conduire ou qu'il soit finalement constaté qu'il se trouvait dans cet état (ATF 105 IV 64 consid. 2 p. 65 ; arrêt du Tribunal fédéral 6B_158/2019 du 12 mars 2019 consid. 1.1.1).</w:t>
      </w:r>
    </w:p>
    <w:p>
      <w:r>
        <w:rPr>
          <w:b/>
        </w:rPr>
        <w:t>E. 2.2</w:t>
      </w:r>
    </w:p>
    <w:p>
      <w:r>
        <w:t>Selon l'art. 93 al. 2 LCR, est passible d'amende quiconque conduit un véhicule dont il sait ou devrait savoir s'il avait prêté toute l'attention commandée par les circonstances qu'il ne répond pas aux prescriptions. La question de savoir si l'état défectueux du véhicule entraîne un risque d'accident n'est pas pertinente (arrêt du Tribunal fédéral 6B_1099/2009 du 16 février 2010, considérant 3.1). Cette disposition renvoie à l'art. 29 LCR, portant sur les garanties de sécurité et selon lequel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 notion d'« état parfait de fonctionnement » du véhicule va au-delà des risques liés au fonctionnement purement technique de la machine et recoupe celle de la sécurité routière (arrêts du Tribunal fédéral 6B_1398/2017 du 26 mars 2018 consid. 4 ; 6B_1099/2009 , précité, considérant 3.1). Ainsi, dans ce dernier arrêt, le Tribunal fédéral a confirmé que le fait de tomber en panne d'essence constituait une infraction à l'art. 93 LCR. L'ordonnance concernant les exigences techniques requises pour les véhicules routiers (OETV) précise, à son art. 67 al. 1, que les véhicules ne doivent présenter aucune pointe tranchante ou arête vive ni aucune saillie ou ouverture qui augmente le risque de blessures en cas de collision. Cette règle s'applique à la fois à l'habitacle, pour la protection des passagers, et à l'extérieur du véhicule, notamment pour la protection des piétons ou des usagers des deux-roues. L'art. 219 al. 1 let a de cette ordonnance précise enfin qu'est réputé non conforme à la présente ordonnance, ce qui rend applicable l'art. 93 al. 2 LCR, le véhicule dont les composants prescrits en permanence, à titre temporaire ou dans certains cas, ne répondent pas aux exigences ou manquent.</w:t>
      </w:r>
    </w:p>
    <w:p>
      <w:r>
        <w:rPr>
          <w:b/>
        </w:rPr>
        <w:t>E. 2.3</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De même que la capacité de discernement est présumée en droit civil s'il n'existe aucun motif de la mettre en doute (art. 16 CC), la pleine responsabilité de l'auteur est présumée en droit pénal (arrêt du Tribunal fédéral 6B_1129/2014 du 9 septembre 2015, consid. 4.2).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du Tribunal fédéral 6b_987/2017 du 12 février 2018 consid. 1.1).</w:t>
      </w:r>
    </w:p>
    <w:p>
      <w:r>
        <w:rPr>
          <w:b/>
        </w:rPr>
        <w:t>E. 2.4</w:t>
      </w:r>
    </w:p>
    <w:p>
      <w:r>
        <w:t>En l'espèce,l'appelant ne conteste pas la matérialité des faits du 6 novembre 2018, mais leur qualification juridique. Ceux-ci seront examinés dans l'ordre chronologique de leur survenance.</w:t>
      </w:r>
    </w:p>
    <w:p>
      <w:r>
        <w:rPr>
          <w:b/>
        </w:rPr>
        <w:t>E. 2.4.1</w:t>
      </w:r>
    </w:p>
    <w:p>
      <w:r>
        <w:t>La qualification juridique de la collision avec un autre automobiliste à la route de Chancy n'est, à raison, plus contestée ; en effet, la survenance d'une collision est en principe constitutive d'une mise en danger concrète, partant d'un cas grave d'infraction aux règles de la circulation, singulièrement à la règle fondamentale de prudence (art. 26 LCR). Les images figurant au dossier démontrent les importants dommages subis par le véhicule de l'appelant. A leur vue, la CPAR ne peut que constater qu'après cette collision, le véhicule de l'appelant était inapte à la circulation, comportant plusieurs saillies le rendant potentiellement dangereux en cas de choc avec un autre usager de la route, voire pour l'appelant lui-même, et donc non conforme au sens des art. 87 et 219 OETV. Le fait que le fonctionnement du moteur du véhicule n'ait pas été affecté ne modifie pas cette appréciation. Cette appréciation est d'ailleurs renforcée par le fait que les policiers qui ont croisé le véhicule ont estimé nécessaire de l'intercepter immédiatement pour sortir le véhicule de la circulation, en raison du danger concret qu'il présentait. Il incombait en réalité à l'appelant de faire dépanner son véhicule, au lieu de poursuivre sa route, étant en particulier relevé qu'il ne s'est pas contenté de se déplacer sur la voie publique jusqu'au prochain garage, son interpellation étant survenue à plusieurs kilomètres du lieu de la collision. Le verdict de culpabilité pour contravention à l'art. 93 LCR doit être confirmé.</w:t>
      </w:r>
    </w:p>
    <w:p>
      <w:r>
        <w:rPr>
          <w:b/>
        </w:rPr>
        <w:t>E. 2.4.2</w:t>
      </w:r>
    </w:p>
    <w:p>
      <w:r>
        <w:t>L'appelant, alors qu'il circulait au volant de sa voiture, a été pris en chasse par une patrouille de police ; il l'a vue et n'a pu que constater qu'il s'agissait des forces de l'ordre, puisqu'il a même décrit la manoeuvre de demi-tour des policiers pour le poursuivre. Au lieu d'obtempérer à l'injonction de s'arrêter, il a accéléré et bifurqué soudainement dans une rue perpendiculaire à celle où il circulait, accélérant au point de ne pas parvenir à éviter un obstacle (vélo stationné), et de ne même pas s'être aperçu qu'il avait occasionné ce dommage matériel. L'appelant n'est pas crédible lorsqu'il nie, après avoir accéléré en constatant qu'une voiture de police le poursuivait, qu'il cherchait à se soustraire à son interpellation, tout en se sachant dépourvu de tout permis de conduire. Son permis lui ayant précisément été retiré en raison d'une problématique de consommation de stupéfiants, et l'appelant étant alors en traitement de substitution à la méthadone et ayant de surcroît consommé de la cocaïne, il devait également se douter qu'en cas d'interpellation, les policiers ordonneraient un examen de son aptitude à conduire - ce qu'ils ont d'ailleurs immédiatement fait. Ainsi, il a bel et bien cherché, en vain, à se soustraire à une mesure tendant à déterminer sa capacité de conduire. Le verdict de tentative d'entrave aux mesures visant à constater l'incapacité de conduire, au sens de l'art. 22 CP cum art. 91a al. 1 LCR doit dès lors être confirmé.</w:t>
      </w:r>
    </w:p>
    <w:p>
      <w:r>
        <w:rPr>
          <w:b/>
        </w:rPr>
        <w:t>E. 2.4.3</w:t>
      </w:r>
    </w:p>
    <w:p>
      <w:r>
        <w:t>L'appelant conteste enfin sa responsabilité, demandant à être mis au bénéfice d'une responsabilité restreinte. Or, outre le fait qu'il consommait des stupéfiants de façon récréative et régulière depuis plusieurs années au moment des faits, ce qui tend à augmenter son accoutumance et donc asseoir sa responsabilité, il n'en avait pas consommé depuis plusieurs jours et ne se trouvait donc pas au pic d'influence. Son comportement, pour illégal qu'il ait été, démontre par ailleurs qu'il agissait de façon coordonnée et rationnelle, puisqu'il a été en mesure de conclure un constat amiable avec un automobiliste, puis de poursuivre sa route, avant de tenter de se soustraire à son interpellation en circulant à vive allure. En l'absence de tout indice contraire, sa responsabilité est présumée pleine et entière. L'appelant se contredit d'ailleurs en regrettant l'absence d'expertise - acte d'instruction qu'il aurait pu requérir s'il le souhaitait réellement -, tout en sollicitant d'être mis au bénéfice du sursis. En effet, sursis et mesure sont incompatibles, puisque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du Tribunal fédéral 6B_94/2015 du 24 septembre 2015 consid. 1.1 ; 6B_71/2012 du 21 juin 2012 consid. 6). C'est le lieu de relever que, contrairement à ce qui a pu être plaidé, les condamnations précédentes de l'appelant, à l'exception de celle du 27 septembre 2018, ne portaient pas sur des délits en lien avec la consommation de stupéfiants, mais avec la conduite sous retrait de permis de conduire, infraction qui n'induisait pas la mise en oeuvre d'une expertise en vue du prononcé d'une mesure thérapeutique.</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3.4</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Il en va de même s'il a été condamné à une peine pécuniaire de plus de 180 jours en vertu de l'ancien droit (disposition transitoire de la modification du code pénal du 19 juin 2015).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134 IV 140 consid. 4.2 p. 143 ; arrêt du Tribunal fédéral 6B_1339/2016 du 23 mars 2017 consid. 1.1.1). L'absence de récidive pendant la procédure n'est pas pertinente, dès lors qu'un tel comportement correspond à ce que l'on doit pouvoir attendre de tout un chacun (arrêt du Tribunal fédéral 6B_301/2020 du 28 avril 2020 consid. 2.2).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6B_1339/2016 du 23 mars 2017 consid. 1.1.2 et les références).</w:t>
      </w:r>
    </w:p>
    <w:p>
      <w:r>
        <w:rPr>
          <w:b/>
        </w:rPr>
        <w:t>E. 3.6</w:t>
      </w:r>
    </w:p>
    <w:p>
      <w:r>
        <w:t>S'agissant des contraventions (art. 90 al. 1 et 93 al. 2 let. a LCR ainsi que 19a LStup), l'amende prononcée par le premier juge sera ramenée à CHF 800.-, étant rappelé que si elles avaient fait l'objet d'une sanction selon la loi sur les amendes d'ordres (LAO) et son ordonnance d'application (OAO), les deux infractions à l'art. 90 al. 1 LCR auraient appelé chacune le prononcé d'une amende d'ordre d'un montant de CHF 100.- (OAO Annexe 1, ch. 304.1 et 304.2).</w:t>
      </w:r>
    </w:p>
    <w:p>
      <w:r>
        <w:rPr>
          <w:b/>
        </w:rPr>
        <w:t>E. 4</w:t>
      </w:r>
    </w:p>
    <w:p>
      <w:r>
        <w:t>2. Selon l'art. 90a al. 2 LCR, le tribunal peut ordonner la réalisation du véhicule automobile confisqué et l'utilisation du produit perçu après déduction des coûts de réalisation et des frais de procédure. Sous réserve de l'allocation au lésé (art. 73 CP), le principe de proportionnalité commande de restituer à l'ayant-droit le produit net de la réalisation. En effet, la confiscation a un but purement sécuritaire, et non punitif ; priver le propriétaire de la valeur économique du véhicule confisqué constituerait une peine additionnelle injustifiée (cf. A. BUSSY / B. RUSCONI / Y. JEANNERET / A. KUHN / C. MIZEL / CH. MÜLLER, Code suisse de la circulation routière : commentaire , 4 e éd., Lausanne 2015, ch. 4.3 ad art. 90a LCR).</w:t>
      </w:r>
    </w:p>
    <w:p>
      <w:r>
        <w:rPr>
          <w:b/>
        </w:rPr>
        <w:t>E. 4.1</w:t>
      </w:r>
    </w:p>
    <w:p>
      <w:r>
        <w:t>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La confiscation d'un véhicule comme objet dangereux au sens de l'art. 69 CP peut également entrer en considération lorsqu'il appartient à un auteur d'infractions chroniques au code de la route, dans la mesure où la confiscation permet de retarder ou d'entraver la commission de nouvelles infractions à la LCR (ATF 137 IV 249 consid. 4.5.2 p. 257 ss). Les conditions de la confiscation posées à l'art. 90a al. 1 let. a LCR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 90 al. 2 LCR. Le fait de conduire un véhicule sans être titulaire du permis y relatif (art. 95 al. 1 let. a LCR) constitue une faute grave pouvant, le cas échéant, entraîner la confiscation d'un véhicule. Tel peut notamment être le cas lorsque la personne en cause a été condamnée pour ce même motif une première fois, mais a continué à conduire sans permis régulièrement, se faisant contrôler à deux reprises par la police (arrêt du Tribunal fédéral 1B_252/2014 du 3 novembre 2014 consid. 2.3 et 2.4, publié in SJ 2015 I 221). Même si l'art. 90a LCR - en tant que lex specialis - devait exclure l'application de la norme générale posée à l'art. 69 CP, ces deux dispositions présupposent, comme condition à la confiscation, que le retrait du véhicule automobile empêche l'auteur de compromettre la sécurité des personnes (art. 69 al. 1 CP), respectivement de commettre des violations graves des règles de la circulation routière (art. 90a al. 1 let. b LCR ; arrêt du Tribunal fédéral 1B_556/2017 du 5 juin 2018 consid. 4.2). S'agissant de la condition cumulative de la lettre b, le Tribunal doit examiner, au sens d'un pronostic de mise en danger, si la confiscation du véhicule est apte à empêcher l'auteur de commettre d'autres infractions graves aux règles de la circulation.</w:t>
      </w:r>
    </w:p>
    <w:p>
      <w:r>
        <w:rPr>
          <w:b/>
        </w:rPr>
        <w:t>E. 4.3</w:t>
      </w:r>
    </w:p>
    <w:p>
      <w:r>
        <w:t>En l'espèce, il ne fait pas de doute que le prévenu a commis des infractions graves et répétées à la circulation routière au moyen de son véhicule, qui est particulièrement puissant selon ses propres déclarations. La multiplication des infractions justifie le prononcé de la confiscation du véhicule. En revanche, dans la mesure où le véhicule conserve une valeur résiduelle, sa destruction ne peut être prononcée. La CPAR en ordonnera par conséquence la réalisation, le solde éventuel du produit de celle-ci, après déduction des frais et amendes, devant être restitué à l'appelant.</w:t>
      </w:r>
    </w:p>
    <w:p>
      <w:r>
        <w:rPr>
          <w:b/>
        </w:rPr>
        <w:t>E. 5</w:t>
      </w:r>
    </w:p>
    <w:p>
      <w:r>
        <w:t>L'appelant, qui succombe pour partie des griefs soulevés, supportera la moitié des frais de la procédure d'appel envers l'État (art. 428 CPP), comprenant un émolument de CHF 1'500.-. La réduction des frais ne sera toutefois pas appliquée aux frais de fourrière, la confiscation du véhicule séquestré étant confirmée. Les frais de première instance seront laissés en totalité à sa charge, le verdict de culpabilité étant confirmé, tout comme l'intégralité de l'émolument complémentaire, étant relevé que le calcul des frais de première instance comporte une erreur, les frais s'élevant à CHF 6'514.60, alors que seuls CHF 5'514.60 ont été mis à sa charge, montant qui ne peut être corrigé conformément à l'interdiction de la reformatio in peius (arrêt du Tribunal fédéral 6B_13/2016 du 23 janvier 2017). Il ne se justifie dès lors pas de réduire encore ces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