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P/21425/2021 vom 26. November 2025</w:t>
      </w:r>
    </w:p>
    <w:p>
      <w:r>
        <w:t>GE Cour de justice, 2025-11-26, FR</w:t>
      </w:r>
    </w:p>
    <w:p>
      <w:r>
        <w:rPr>
          <w:b/>
        </w:rPr>
        <w:t xml:space="preserve">Quelle: </w:t>
      </w:r>
      <w:r>
        <w:t>https://mcp.opencaselaw.ch/entscheid/ge_gerichte_P_21425_2021</w:t>
      </w:r>
    </w:p>
    <w:p>
      <w:r>
        <w:t>FR: GE_GERICHTE P/21425/2021 du 26 novembre 2025</w:t>
      </w:r>
    </w:p>
    <w:p>
      <w:r>
        <w:t>IT: GE_GERICHTE P/21425/2021 del 26 novembre 2025</w:t>
      </w:r>
    </w:p>
    <w:p>
      <w:pPr>
        <w:pStyle w:val="Heading2"/>
      </w:pPr>
      <w:r>
        <w:t>Regeste</w:t>
      </w:r>
    </w:p>
    <w:p>
      <w:r>
        <w:t>FAUX TÉMOIGNAGE;DIFFAMATION;CALOMNIE | CP.307.al1; CP.309.leta; CP.173.ch1; CP.173.ch3; CP.174.ch1; CP.49.al2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Se rend coupable de faux témoignage au sens de l'art. 307 al. 1 CP, celui qui, en qualité de témoin, aura fait en justice une déposition fausse sur les faits de la cause. Le comportement punissable suppose que la déclaration du témoin soit fausse, c'est-à-dire objectivement non conforme à la vérité. La fausseté de la déclaration n'est pas déterminée selon la conviction subjective de l'auteur, mais selon l'état de fait objectif, auquel le témoignage doit correspondre. Commet ainsi un faux témoignage le témoin qui dit ne plus se souvenir d'un événement alors que tel n'est pas le cas.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6B_807/2021 du 7 juin 2022 consid. 6.1.). L'infraction réprime une mise en danger abstraite du bien juridiquement protégé. Il n'est pas nécessaire pour que l'infraction soit consommée que le juge ait été concrètement influencé (B. CORBOZ, Les infractions en droit suisse, vol. II, 3 e éd., Berne 2010, n. 4 ad art. 307).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 du Tribunal fédéral du 6B_807/2021 du 7 juin 2022 consid. 6.1). 2.2.2. L'art. 309 let. a CP prévoit que les articles 306 à 308 CP sont notamment applicables à la procédure devant les tribunaux administratifs, devant les tribunaux arbitraux et devant les autorités et fonctionnaires de l'administration ayant qualité pour recevoir des témoignages. Cette disposition vise, en sus des tribunaux administratifs, les autorités administratives non judiciaires investies par la loi applicable du pouvoir d’auditionner des témoins. Cette compétence doit normalement leur être attribuée par une loi au sens formel – généralement la loi de procédure administrative applicable, mais une loi de fond peut aussi régler ce type de questions procédurales à titre spécifique et accessoire (A. MACALUSO / L. MOREILLON / N. QUELOZ (éds), Commentaire romand, Code pénal II, vol. II, Partie spéciale : art. 111-392 CP, Bâle 2017, n. 6 ad art. 309). 2.2.3. Selon l'art. 28 de la Loi genevoise sur la procédure administrative (LPA), lorsque les faits ne peuvent être éclaircis autrement, les autorités suivantes peuvent au besoin procéder à l’audition de témoins: a) le Conseil d’Etat, les chefs de départements et le chancelier; b) les autorités administratives qui sont chargées d’instruire des procédures disciplinaires ; c) les juridictions administratives. 2.3.1. Il est possible d'examiner l'infraction de diffamation en lieu et place de la calomnie, sans l'avoir annoncé au préalable aux parties, pour autant que l'auteur ait pu s'exprimer au préalable sur tous les éléments de faits pertinents et n'aurait pas modifié sa stratégie de défense consistant à contester avoir tenu faussement des propos attentatoires à l'honneur du plaignant. Dans un tel cas de figure, une éventuelle violation du droit d'être entendu (art. 29 al. 2 Cst. et 344 CPP) serait mineure (arrêt du Tribunal fédéral 6B_941/2018 du 6 mars 2019, consid. 1.3.4.). 2.3.2. Pour qu'il y ait diffamation ou calomnie, il faut que l'auteur s'adresse à un tiers. Est en principe considérée comme tiers toute personne autre que l'auteur et l'objet des propos qui portent atteinte à l'honneur (ATF 86 IV 209 ; plus récemment arrêt 6B_512/2017 du 12 février 2018 consid. 3.3.1). 2.3.3.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 128 IV 53 consid. 1a). Aussi, il est constant qu'en matière d'infractions contre l'honneur, les mêmes termes n'ont pas nécessairement la même portée suivant le contexte dans lequel ils sont employés (ATF 148 IV 409 consid. 2.3.2 ; 145 IV 462 consid. 4.2.3 ; 118 IV 248 consid. 2b).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 arrêt du Tribunal fédéral 6B_6/2015 du 23 mars 2016 consid. 2.2 et 3.3).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et 103 IV 161 consid. 2).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La diffamation suppose une allégation de fait, et non pas un simple jugement de valeur (ATF 137 IV 313 consid. 2.1.2 ; 117 IV 27 consid. 2c).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2.3.4. Du point de vue subjectif, il suffit que l'auteur ait eu conscience du caractère attentatoire à l'honneur de ses propos et qu'il les ait néanmoins proférés ; il n'est pas nécessaire qu'il ait eu la volonté de blesser la personne visée (ATF 119 IV 44 consid. 2a). 2.3.5. La preuve de la vérité est apportée lorsque les allégations attentatoires à l'honneur correspondent, pour l'essentiel, à la vérité. Des inexactitudes ou imprécisions relativement insignifiantes sont sans importance (ATF 71 IV 187 consid. 2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Des allégations inexactes, qui ne sont pas attentatoires à l'honneur, ne sont en revanche pas juridiquement pertinentes (arrêt du Tribunal fédéral 6B_333/2008 du 9 mars 2009 consid. 1.3.). 2.3.6.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116 IV 31 consid. 3 ; arrêt du Tribunal fédéral 6B_25/2013 du 4 juin 2013 consid. 1.1.1). Le juge examine d'office si les conditions de la preuve libératoire sont remplies, mais c'est à l'auteur du comportement attentatoire à l'honneur de décider s'il veut apporter de telles preuves (ATF 137 IV 313 consid. 2.4.2 et 2.4.4). 2.3.7. L'art. 174 ch. 1 CP réprime, au titre de calomnie,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6B_1100/2016 du 25 octobre 2017 consid. 3.4 ; 6B_1286/2016 du 15 août 2017 consid. 1.2). Sur le plan subjectif, l'auteur d'une calomnie sait que le fait qu'il évoque dans sa communication au tiers est faux. Il s'agit d'une connaissance au sens strict, le dol éventuel n'étant pas suffisant (ATF 76 IV 244 ss). La connaissance de la fausseté doit exister au moment de la communication. Si elle ne peut pas être prouvée, il faut examiner s'il y a lieu de retenir la diffamation (ATF 6B_1100/2014 c. 4.1). 2.4.1. En l'espèce, la teneur des accusations de l'appelant formulées envers l'intimé, son supérieur hiérarchique, lors des deux séances d'août 2021, puis par-devant le comité d'enquête administrative, est attentatoire à son honneur. Il a accusé son supérieur de se livrer, sur leur lieu de travail, à un trafic de stupéfiants, faisant venir, dans leur local de repos, environ deux fois par mois, un " dealer " qui venait une première fois lui faire tester la marchandise, puis une deuxième fois, la lui vendre, ce qui relève d'une infraction pénale. L'appelant a précisé n’avoir jamais assisté à une transaction et cité plusieurs témoins afin d'étayer ses affirmations. Il a persisté jusqu'à la Cour de céans dans ses allégations, ces éléments permettant de penser qu'il a peut-être imaginé, voire cru, que ses accusations étaient fondées. Il n'a pas été en mesure de prouver leur véracité, aucun élément au dossier ne permettant d'établir qu'il en connaissait la fausseté. Au vu de ce qui précède, et au bénéfice du principe in dubio pro reo, il convient d'examiner ses propos sous l'angle de la diffamation (art. 173 CP) et non de la calomnie (art. 174 CP). 2.4.2. Alors qu’il est d'intérêt public de s'assurer que de telles allégations – un trafic de stupéfiants sur son lieu de travail – soient prises au sérieux dans un cadre étatique (la Commune de E______), et que l'appelant indique qu'un tel trafic existait depuis 2018, il n'en a parlé que lors de séances en août 2021 visant à le rétablir dans ses fonctions et après que ses affirmations de " mobbing " à l'encontre de son ancien chef avaient échoué. Dès lors, il a parlé, largement, à des autorités étatiques, à un comité d'enquête administratif, puis au MP et enfin devant le juge de première instance, de l'ensemble de ces allégations, sans jamais pouvoir les étayer. Cela ne répond à aucun intérêt public, et relève d'un esprit de malveillance à l'endroit de son ancien supérieur hiérarchique. Il en découle que l'appelant ne peut pas être autorisé à faire la preuve de la vérité ni de la bonne foi et sera reconnu coupable de diffamation au sens de l'art. 173 ch. 1 et 3 CP. 2.4.3. Compte tenu de ce qui précède, le jugement de première instance sera réformé et l’appel rejeté sur ce point. 2.5.1. L'appelant a été auditionné par des enquêteurs nommés par des autorités administratives lesquelles l'ont rendu attentif au risque d'un faux témoignage et de ses conséquences au sens de l'art. 307 CP. Il ressort de la procédure que l'appelant a été rendu attentif à ses obligations lorsqu'il a été entendu en qualité de témoin par les enquêteurs administratifs, nommés conformément au droit en vigueur et tenus, à ce titre, d'appliquer les art. 306 à 308 CPP. Au fil de son audition, l’appelant a persisté à déclarer que l’intimé s’était livré à un trafic de drogue entre l’automne 2018 et février 2019 et a fourni moult détails qui se sont avérés faux. Ses propos ont certes dans l’ensemble été plutôt constants mais son récit n’a, à aucun moment, trouvé une assise crédible. Surtout, alors qu’il a assuré les enquêteurs de l’existence d’une discussion entre collaborateurs en 2019, au cours de laquelle les reproches à l’encontre de son contremaître auraient été abordés, aucun de ses anciens collègues, assermentés comme lui (y compris l’ancien apprenti qui avait quitté ses fonctions pour la Commune de E______ en 2020 et ne peut donc être soupçonné d’avoir menti par solidarité envers un collègue, comme le sous-entend l’appelant), n’a confirmé ses propos. Auditionnés, ceux-ci ont au contraire nié l’existence de telles discussions, contredisant formellement l’appelant sur ce point. Ces témoins ont également nié avoir constaté un quelconque trafic de stupéfiants. Si la Cour veut bien croire que l’appelant a pu sur-interpréter certains évènements, ce qui la conduit à retenir une diffamation plutôt qu’une calomnie, en revanche, en cherchant à étayer ses accusations en invoquant des discussions entre collègues, l’appelant a franchi le pas et sciemment menti. Il en découle que les déclarations faites alors qu’il était entendu en qualité de témoin dans le cadre de ladite procédure étaient mensongères, à tout le moins sur ce point. Il ressort toutefois de l'ordonnance pénale, valant acte d'accusation, que le faux témoignage reproché à l'appelant porte exclusivement sur l'existence d'un trafic de stupéfiants et la consommation de tels produits, à l'exclusion des autres propos qu'il a tenus au fil de son audition par les autorités administratives. Le mensonge qu'il a énoncé – soit l’existence d’une discussion entre collaborateurs en 2019, au cours de laquelle les reproches envers son supérieur auraient été abordés - n'est pas visé par l'acte d'accusation. Dans ces circonstances, et dans la mesure où il a été retenu que l'appelant n'avait pas sciemment menti en invoquant l'existence d'un trafic de stupéfiants, les éléments du faux témoignage, tel que décrit par l’acte d’accusation, ne sont pas réalisés et l'appelant sera acquitté de cette infraction. 2.5.2. Le jugement entrepris sera également réformé et l’appel admis sur ce point.</w:t>
      </w:r>
    </w:p>
    <w:p>
      <w:r>
        <w:rPr>
          <w:b/>
        </w:rPr>
        <w:t>E. 3.1</w:t>
      </w:r>
    </w:p>
    <w:p>
      <w:r>
        <w:t>La diffamation est punie d'une peine pécuniaire (art. 173 ch. 1 et 3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3.3</w:t>
      </w:r>
    </w:p>
    <w:p>
      <w:r>
        <w:t>Selon l'art. 34 al. 1 CP, sauf disposition contraire, la peine pécuniaire est de trois jours-amende au moins et ne peut excéder 180 jours-amende. Le juge fixe leur nombre en fonction de la culpabilité de l’auteur.</w:t>
      </w:r>
    </w:p>
    <w:p>
      <w:r>
        <w:rPr>
          <w:b/>
        </w:rPr>
        <w:t>E. 3.4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3.5.1. La faute de l'appelant est non négligeable. Vexé de la manière dont il avait été traité par son supérieur hiérarchique, il a persisté devant toutes les autorités administratives et instances judiciaires à formuler des accusations graves et sans fondement, dans l'intention de nuire à l'intimé sur le plan professionnel, étant précisé que ce dernier a été suspendu le temps de l'enquête administrative. Son mobile est égoïste, l'appelant étant mû par un esprit de revanche. Sa situation personnelle semble sans particularité et ne justifie pas ses actes. La collaboration de l'appelant a été mauvaise. Il a campé sur ses positions, allant jusqu'à accuser d'autres collaborateurs de consommer des stupéfiants, certes avant leur arrivée au travail, lorsqu'il n'avait pas la réponse à une question. Sa prise de conscience de la gravité de ses agissements est inexistante. 3.5.2. Dans la mesure où il a été condamné le 19 décembre 2023 par le MP à une peine pécuniaire de 20 jours-amende à CHF 50.- l'unité, pour non restitution de plaques, on se trouve dans un cas de concours réel rétrospectif avec l’infraction de diffamation. L'infraction à l'art. 97 al.1 let. b LCR doit être considérée comme la plus grave, au vu de la peine menace objectivement encourue. Si la Cour avait dû connaitre des faits découlant des deux procédures en cause, elle aurait aggravé la peine pécuniaire de base de 20 jours-amende pour l'infraction à la LCR, laquelle doit être aggravée de 40 jours-amende (peine hypothétique : 60 jours) pour tenir compte de l'infraction de diffamation, de sorte que la peine d'ensemble s'élève à 60 jours-amende. La peine complémentaire sera donc arrêtée à 40 jours-amende (60 jours-amende – 20 jours-amende). Le montant du jour-amende n'ayant pas été remis en cause par l'appelant, et celui-ci étant juste et adéquat, il sera confirmé. 3.5.3. Faute d'appel du MP, le sursis lui est acquis et le délai d'épreuve y relatif adéquat (art. 391 al. 2 CPP).</w:t>
      </w:r>
    </w:p>
    <w:p>
      <w:r>
        <w:rPr>
          <w:b/>
        </w:rPr>
        <w:t>E. 4.1</w:t>
      </w:r>
    </w:p>
    <w:p>
      <w:r>
        <w:t>L'appelant, qui succombe partiellement, étant précisé qu'il a été acquitté de l'infraction de faux témoignage (art. 307 al. 1 CP) et condamné pour diffamation (art. 173 ch. 1 et 3 CP) au lieu de la calomnie (art. 174 CP), supportera la moitié des frais de la procédure d’appel envers l'État (art. 428 al. 1 CPP), y compris un émolument d'arrêt de CHF 1'500.- (art. 14 al. 1 let. e du Règlement fixant le tarif des frais en matière pénale). Le reste des frais sera laissé à charge de l'État.</w:t>
      </w:r>
    </w:p>
    <w:p>
      <w:r>
        <w:rPr>
          <w:b/>
        </w:rPr>
        <w:t>E. 4.2</w:t>
      </w:r>
    </w:p>
    <w:p>
      <w:r>
        <w:t>Nonobstant l’acquittement prononcé, il n’y a pas lieu de revoir les frais de la procédure préliminaire et de première instance, vu la confirmation partielle du verdict de culpabilité (art. 426 al. 1 CPP). En effet, l'instruction des faits pour lesquels l'appelant a finalement été acquitté n'a pas occasionné de frais supplémentaires, le complexe de faits restant le même.</w:t>
      </w:r>
    </w:p>
    <w:p>
      <w:r>
        <w:rPr>
          <w:b/>
        </w:rPr>
        <w:t>E. 5.1</w:t>
      </w:r>
    </w:p>
    <w:p>
      <w:r>
        <w:t>À teneur de l'art. 429 al. 1 let. a CPP, le prévenu a droit, s'il est acquitté totalement ou en partie,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400.- à CHF 450.- pour les chefs d’étude ( AARP/177/2023 du 25 mai 2023 consid. 7.1 ; AARP/52/2023 du 20 février 2023 consid. 6.2.2).</w:t>
      </w:r>
    </w:p>
    <w:p>
      <w:r>
        <w:rPr>
          <w:b/>
        </w:rPr>
        <w:t>E. 5.2</w:t>
      </w:r>
    </w:p>
    <w:p>
      <w:r>
        <w:t>Selon l'art. 429 al. 1 let. b CPP, le prévenu a droit, s'il est acquitté totalement ou en partie, à une indemnité pour le dommage économique subi au titre de sa participation obligatoire à la procédure pénale. Le code de procédure pénal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circonstances particulières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(arrêt du Tribunal fédéral 6B_278/2021 du 2 novembre 2021 consid. 1.2.1).</w:t>
      </w:r>
    </w:p>
    <w:p>
      <w:r>
        <w:rPr>
          <w:b/>
        </w:rPr>
        <w:t>E. 5.3</w:t>
      </w:r>
    </w:p>
    <w:p>
      <w:r>
        <w:t>La décision sur les frais préjuge en principe de la question de l'indemnisation (ATF 144 IV 207 consid. 1.8.2 ; 137 IV 352 consid. 2.4.2).</w:t>
      </w:r>
    </w:p>
    <w:p>
      <w:r>
        <w:rPr>
          <w:b/>
        </w:rPr>
        <w:t>E. 5.4</w:t>
      </w:r>
    </w:p>
    <w:p>
      <w:r>
        <w:t>. Compte tenu de la mise à la charge de l'appelant de la totalité des frais de la procédure préliminaire et de première instance, il ne peut prétendre à une indemnité de ses frais de défense pour cette partie de la procédure. 5.5.1. Pour la procédure d'appel néanmoins, l'appelant doit être indemnisé pour l'activité de son avocat, à hauteur de 50%. 5.5.2. Il a produit une note d'honoraires de son conseil pour la procédure d'appel dont le total s'est chiffré à CHF 3'997.-, pour huit heures et treize minutes d'activité au tarif horaire de CHF 450.- et la TVA au taux de 8.1%, ce qui paraît adéquat. Il conviendra de lui allouer la moitié de ce montant, soit CHF 1'998.50.</w:t>
      </w:r>
    </w:p>
    <w:p>
      <w:r>
        <w:rPr>
          <w:b/>
        </w:rPr>
        <w:t>E. 5.6</w:t>
      </w:r>
    </w:p>
    <w:p>
      <w:r>
        <w:t>Il ne sera pas fait droit aux prétentions en réparation du dommage économique allégué, de CHF 393.-, dans la mesure où la défense de ses intérêts n'a pas exigé un travail important de sa part, sa défense étant assurée par un avocat, et que les audiences auxquelles il a participé, tant au MP qu'au TP, ont été nécessaires pour sa défense.</w:t>
      </w:r>
    </w:p>
    <w:p>
      <w:r>
        <w:rPr>
          <w:b/>
        </w:rPr>
        <w:t>E. 6</w:t>
      </w:r>
    </w:p>
    <w:p>
      <w:r>
        <w:t>6.1. À teneur de l'art. 433 al. 1 let. a CPP, la partie plaignante qui obtient gain de cause peut demander au prévenu une juste indemnité pour les dépenses obligatoires occasionnées par la procédure. Elle est tenue de les chiffrer et les justifier ; à défaut, l'autorité pénale n'entre pas en matière sur la demande. Ladite indemnité concerne les dépenses du prévenu pour un avocat de choix (ATF 138 IV 205 consid. 1). En particulier, les démarches doivent apparaître nécessaires et adéquates (cf. ATF 139 IV 102 consid. 4.3 concernant la partie plaignante).</w:t>
      </w:r>
    </w:p>
    <w:p>
      <w:r>
        <w:rPr>
          <w:b/>
        </w:rPr>
        <w:t>E. 6.2</w:t>
      </w:r>
    </w:p>
    <w:p>
      <w:r>
        <w:t>En l’espèce, l’intimé n’obtient gain de cause que sur la question de la diffamation, l’appelant ayant été acquitté de faux témoignage. À ce titre, il est fondé à exiger l'indemnisation de ses frais d'avocat limités à la discussion sur les faits préalablement qualifiés de calomnie, puis re-qualifiés de diffamation.</w:t>
      </w:r>
    </w:p>
    <w:p>
      <w:r>
        <w:rPr>
          <w:b/>
        </w:rPr>
        <w:t>E. 6.3</w:t>
      </w:r>
    </w:p>
    <w:p>
      <w:r>
        <w:t>La décision sur les frais préjugeant de la question de l'indemnisation (arrêt du Tribunal fédéral 6B_924/2022 du 13 juillet 2023 consid. 3.1.2), l'intimé se verra allouer une pleine indemnité, à la charge de l'appelant, concernant ses frais d'avocat pour la procédure préliminaire et de première instance, dans la mesure où celui-ci a été condamné à payer l'entier des frais de procédure. Le montant de CHF 11'905.10, TVA comprise, allouée par le premier juge, sera dès lors confirmé.</w:t>
      </w:r>
    </w:p>
    <w:p>
      <w:r>
        <w:rPr>
          <w:b/>
        </w:rPr>
        <w:t>E. 6.4</w:t>
      </w:r>
    </w:p>
    <w:p>
      <w:r>
        <w:t>S’agissant d’une indemnité pour ses dépenses obligatoires au cours de la procédure d’appel, celle-ci suivra également le sort des frais et sera réduite de 50% du montant initialement demandé. L'indemnité initialement requise à vingt minutes de correspondance avec le client et un courrier à la CPAR, puis dix minutes de correspondance avec le client et enfin 420 minutes pour les réponses à l'appel, soit un total de 450 minutes équivalant à sept heures et trente minutes d'activité, sera ramenée à un total de quatre heures d'activité, vu les infractions examinées et le dossier constitué d'un classeur, à CHF 450./ l'heure, totalisant CHF 1'800.- et la TVA de 8.1% (CHF 145.80), soit CHF 1'945.80, divisé par deux, en l'occurrence CHF 972.90.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