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P/21421/2021 vom 12. August 2024</w:t>
      </w:r>
    </w:p>
    <w:p>
      <w:r>
        <w:t>GE Cour de justice, 2024-08-12, FR</w:t>
      </w:r>
    </w:p>
    <w:p>
      <w:r>
        <w:rPr>
          <w:b/>
        </w:rPr>
        <w:t xml:space="preserve">Quelle: </w:t>
      </w:r>
      <w:r>
        <w:t>https://mcp.opencaselaw.ch/entscheid/ge_gerichte_P_21421_2021</w:t>
      </w:r>
    </w:p>
    <w:p>
      <w:r>
        <w:t>FR: GE_GERICHTE P/21421/2021 du 12 août 2024</w:t>
      </w:r>
    </w:p>
    <w:p>
      <w:r>
        <w:t>IT: GE_GERICHTE P/21421/2021 del 12 agosto 2024</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et 6B_484 2012 du 11 décembre 2012 consid. 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(Cst.) en matière d'appréciation anticipée des preuves (arrêts du Tribunal fédéral 6B_366/2021 du 26 janvier 2022 consid. 2.1.3 ; 6B_237/2021 du 6 décembre 2021 consid. 2.1 ; 6B_211/2021 du 2 août 2021 consid. 3.2).</w:t>
      </w:r>
    </w:p>
    <w:p>
      <w:r>
        <w:rPr>
          <w:b/>
        </w:rPr>
        <w:t>E. 2.2</w:t>
      </w:r>
    </w:p>
    <w:p>
      <w:r>
        <w:t>En l'espèce, l'appelant requiert, à titre subsidiaire, l'établissement d'une expertise psychiatrique sur dossier. Outre qu'une telle démarche devrait rester exceptionnelle, elle n'aurait pas l'utilité recherchée pour déterminer les capacités et la responsabilité de l'appelant au moment des faits reprochés, dès lors que l'expert ne serait pas confronté à son expertisé, d'une part, et que le dossier ne contient aucune évaluation et/ou diagnostic à cette époque, d'autre part. En outre, les rapports médicaux et les notes de suivi produits n'ont relevé aucun phénomène hallucinatoire, maniaque ou psychotique, soulignant que la frustration de l'appelant résultait essentiellement d'une mauvaise adaptation aux conditions carcérales. L'expertise sur dossier ne s'avère ainsi pas nécessaire au prononcé du jugement, ce qui conduit au rejet de la réquisition de preuve.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144 IV 345 consid. 2.2.3.1 ;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144 IV 345 consid. 2.2.3.3 ; 127 I 38 consid. 2a).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Rien ne s'oppose à ce que le juge ne retienne qu'une partie des déclarations d'un témoin globalement crédible (ATF 120 Ia 31 consid. 3 ; arrêt du Tribunal fédéral 6B_637/2012 du 21 janvier 2013 consid. 5.4). 3.1.2.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De même que la capacité de discernement est présumée en droit civil, s'il n'existe aucun motif de la mettre en doute (art. 16 CC ; ATF 134 II 235 consid. 4.3.3), la pleine responsabilité de l'auteur est présumée en droit pénal (arrêt du Tribunal fédéral 6B_1129/2014 du 9 septembre 2015 consid. 4.2).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(arrêt du Tribunal fédéral 6B_616/2015 du 5 avril 2016 consid. 2.3). 3.1.3.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133 IV 145 consid. 3.3).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arrêt du Tribunal fédéral 6B_341/2010 du 20 juillet 2010 consid. 3.3.1).</w:t>
      </w:r>
    </w:p>
    <w:p>
      <w:r>
        <w:rPr>
          <w:b/>
        </w:rPr>
        <w:t>E. 3.2</w:t>
      </w:r>
    </w:p>
    <w:p>
      <w:r>
        <w:t>En l'espèce, si l'on peut regretter, avec l'appelant, que le MP ait tardé à ordonner l'établissement d'une expertise psychiatrique, au vu des circonstances singulières de l'arrestation du prévenu la veille des faits, force est cependant de constater qu'il n'y a pas collaboré le moment venu – ce qui reste son droit – et qu'il s'est totalement désintéressé de la procédure, avant de finalement y renoncer. Ces circonstances rendent d'emblée délicat l'établissement de sa responsabilité pénale, sous l'angle d'une responsabilité éventuellement diminuée, voire de son irresponsabilité comme il le soutient. Ce faisant, l'appelant a adopté un comportement totalement contradictoire, proche d'un abus de droit au vu de la position soutenue en appel. En l'absence de toute expertise, il convient de voir si l'un ou l'autre indice entourant la commission des faits reprochés permettraient de douter de la responsabilité de l'appelant à ce moment. Il faut tout d'abord constater que les faits du 4 novembre 2021 se sont déroulés sans particularité et que l'appelant, à cette occasion, a fait montre de présence d'esprit en tentant de se débarrasser des fruits de son méfait de manière ingénieuse. Le fait qu'il ait crié durant son audition à la police ou cogné contre la porte de sa cellule durant la matinée ne représente pas plus le signe de ce qu'il aurait été impacté dans sa responsabilité au moment où il a agi. Le dossier médical figurant à la procédure ne fait état d'aucun argument en faveur de phénomènes hallucinatoire, d'influence, de déréalisation ou de dépersonnalisation, ni d'épisodes maniaque ou psychotique, au moment de ce suivi, sinon antérieurement. Les médecins qui ont suivi l'appelant ont surtout souligné l'existence chez lui d'un trouble de l'adaptation en rapport avec les conditions carcérales, ce qu'illustrent par ailleurs parfaitement les altercations qu'il a eues avec les agents de détention, lesquelles ont toujours succédé à une sanction disciplinaire ou à une autre forme de frustration. Des antipsychotiques lui ont été prescrits, mais aux fins de pallier le risque auto-agressif. À cet égard, en dépit de ses tentatives de suicide répétées, aucun épisode dépressif n'a été constaté. Au contraire et selon ses propres propos, il s'agissait pour lui d'induire une forme de culpabilisation chez ses geôliers, soit de la manipulation. Il n'y a pas davantage de preuve qu'il ait été sous le coup d'une décompensation le 4 novembre 2021, référence faite à la cohérence de son action, et le diagnostic d'un trouble schizo-affectif ne repose que sur ses seules déclarations. Même à le suivre sur le terrain d'une affection psychiatrique ayant pu l'amener à décompenser qu'il faudrait alors retenir que, se sachant malade, il pouvait faire appel à un médecin suite à son interpellation, il pouvait demander la prescription de médicaments devant l'amener à surmonter sa crise et solliciter une aide d'urgence, tous points qu'il n'a pas concrétisé, possiblement volontairement, aux fins d'être élargi dans les meilleurs délais. Dans cette mesure, il se serait lui-même mis dans une position fautive, parce qu'il aurait pu prévoir qu'en l'absence d'un traitement adéquat, et demeurant sans droit sur le territoire genevois, il pourrait commettre quelque chose de répréhensible, ce qui aurait nécessairement conduit à ne pas retenir une responsabilité restreinte, voire une irresponsabilité (cf. art. 19 al. 4 CP). Enfin, le fait qu'il ait pu tenir des propos délirants en se revendiquant de la monarchie, à une reprise, ne permet pas de renverser ces constats. Aussi, les éléments qui précèdent n'amènent pas la Cour à douter de la responsabilité présumée de l'appelant au moment des faits, encore moins à retenir son irresponsabilité. Par voie de conséquence, le verdict de culpabilité sera intégralement confirmé.</w:t>
      </w:r>
    </w:p>
    <w:p>
      <w:r>
        <w:rPr>
          <w:b/>
        </w:rPr>
        <w:t>E. 4</w:t>
      </w:r>
    </w:p>
    <w:p>
      <w:r>
        <w:t>4.1.1. Le brigandage est réprimé d'une peine privative de liberté de six mois à dix ans (art. 140 CP), tandis que l'injure est punie d'une peine pécuniaire de 90 jours-amende au plus (art. 177 CP). Enfin, les menaces sont sanctionnées par une peine privative de liberté de trois ans au plus ou par une peine pécuniaire (art. 180 CP).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4.1.4. 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4.1.5. Conformément à l'art. 51 CP, le juge impute sur la peine la détention avant jugement subie par l'auteur dans le cadre de l'affaire qui vient d'être jugée ou d'une autre procédure. L'indemnisation financière est ainsi subsidiaire à l'imputation (ATF 141 IV 236 consid. 3.3).</w:t>
      </w:r>
    </w:p>
    <w:p>
      <w:r>
        <w:rPr>
          <w:b/>
        </w:rPr>
        <w:t>E. 4.2</w:t>
      </w:r>
    </w:p>
    <w:p>
      <w:r>
        <w:t>En l'espèce, l'appelant ne conteste pas, au-delà de l'acquittement plaidé, la peine prononcée par le premier juge. Sa faute est importante en ce qu'il n'a pas hésité, à peine son arrestation provisoire terminée, à s'en prendre à nouveau au patrimoine d'autrui ainsi qu'à l'intégrité physique, la liberté et l'honneur d'autrui. Il a agi tantôt par appât du gain facile, tantôt sous le coup d'une colère mal maîtrisée, témoignant d'un mépris marqué pour l'autorité. Sa situation personnelle n'explique ni ne justifie ses agissements. Il a un antécédent spécifique, commis la veille des faits du 4 novembre 2021. Sa collaboration, à l'instar de sa prise de conscience, ne peut être qualifiée de bonne, étant précisé qu'il ne s'est plus présenté aux convocations après sa libération, violant par la même occasion toutes les mesures de substitutions auxquelles il avait acquiescé. Enfin, il y a concours d'infractions, facteur aggravant de la peine. L'infraction abstraitement la plus grave est celle du brigandage, laquelle justifie à elle seule le prononcé d'une peine privative de liberté de six mois, auxquels doivent s'ajouter 30 jours supplémentaires pour sanctionner les menaces (peine théorique de 45 jours) et 20 jours encore pour la tentative de menaces (peine théorique de 30 jours). La peine privative de liberté de sept mois et 20 jours prononcée par le premier juge sera partant confirmée. Il en ira de même de la peine pécuniaire, clémente, de 10 jours-amende à CHF 10.- l'unité, réprimant l'infraction d'injure commise à deux reprises. Vu la récidive de l'appelant quelques heures seulement après sa mise en liberté, alors qu'il venait d'être condamné à peine privative de liberté de 120 jours avec sursis pour vol, dommages à la propriété, entrée et séjour illégaux, c'est à juste titre que le premier juge n'a pas assorti ces peines du sursis, le pronostic étant alors résolument défavorable. Cela étant, leur exécution apparaissait suffisante pour dissuader l'appelant de réitérer ses agissements délictueux, de sorte que la non-révocation du sursis antérieur, qui lui est au demeurant acquise, a été accordée à bon droit. La prolongation du délai d'épreuve d'un an, adéquate, sera également confirmée. Enfin, les critères légaux de l'imputation de la détention avant jugement ont été correctement appliqués par le premier juge. Au vu de ce qui précède, le jugement de première instance sera intégralement confirmé et l'appel rejeté.</w:t>
      </w:r>
    </w:p>
    <w:p>
      <w:r>
        <w:rPr>
          <w:b/>
        </w:rPr>
        <w:t>E. 5</w:t>
      </w:r>
    </w:p>
    <w:p>
      <w:r>
        <w:t>L'appelant ne discute pas non plus, à juste titre, son expulsion, laquelle résulte d'une application correcte du droit (art. 404 CPP cum art. 66a al. 1 let. c et al. 2 CP).</w:t>
      </w:r>
    </w:p>
    <w:p>
      <w:r>
        <w:rPr>
          <w:b/>
        </w:rPr>
        <w:t>E. 6</w:t>
      </w:r>
    </w:p>
    <w:p>
      <w:r>
        <w:t>L'appelant, qui succombe, supportera les frais de la procédure envers l'État (art. 428 CPP), lesquels comprendront un émolument d'arrêt de CHF 1'500.-. Il n'y a lieu de revoir la répartition des frais arrêtée en première instance.</w:t>
      </w:r>
    </w:p>
    <w:p>
      <w:r>
        <w:rPr>
          <w:b/>
        </w:rPr>
        <w:t>E. 7</w:t>
      </w:r>
    </w:p>
    <w:p>
      <w:r>
        <w:t>Vu l'issue de l'appel, l'appelant sera débouté de ses conclusions en indemnisation (art. 429 CPP a contrario).</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et chef d'étude CHF 200.- (let. a 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En l'occurrence, doivent être retranchés de l'état de frais de M e B______ les postes " déclaration d'appel ", " déplacement au service juridique des HUG " et " courrier à la CPAR ", dès lors que ces activités relèvent de démarches couvertes par le forfait et que la vacation à l'hôpital n'était pas indispensable à la bonne conduite du mandat, un simple courrier ou téléphone suffisant pour atteindre le résultat recherché. Enfin, l'activité facturée pour la rédaction du mémoire d'appel apparaît quelque peu excessive, compte tenu de la nature et de la faible complexité de l'affaire, qui n'a connu aucun développement nouveau et est plaidée depuis le début par une avocate chevronnée. Elle sera ainsi réduite à 9h00. En conclusion, sa rémunération sera arrêtée à CHF 2'567.40, correspondant à 10h15 heures d'activité au tarif de CHF 200.-/heure et 1h00 d'activité au tarif de CHF 110.-/heure (CHF 2'160.-), plus la majoration forfaitaire de 10% (CHF 216.-) et l'équivalent de la TVA au taux variant de 7.7% (CHF 21.20) et 8.1% (CHF 160.40 + CHF 9.80].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