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P/21290/2015 vom 8. März 2017</w:t>
      </w:r>
    </w:p>
    <w:p>
      <w:r>
        <w:t>GE Cour de justice, 2017-03-08, FR</w:t>
      </w:r>
    </w:p>
    <w:p>
      <w:r>
        <w:rPr>
          <w:b/>
        </w:rPr>
        <w:t xml:space="preserve">Quelle: </w:t>
      </w:r>
      <w:r>
        <w:t>https://mcp.opencaselaw.ch/entscheid/ge_gerichte_P_21290_2015</w:t>
      </w:r>
    </w:p>
    <w:p>
      <w:r>
        <w:t>FR: GE_GERICHTE P/21290/2015 du 8 mars 2017</w:t>
      </w:r>
    </w:p>
    <w:p>
      <w:r>
        <w:t>IT: GE_GERICHTE P/21290/2015 del 8 marzo 2017</w:t>
      </w:r>
    </w:p>
    <w:p>
      <w:pPr>
        <w:pStyle w:val="Heading2"/>
      </w:pPr>
      <w:r>
        <w:t>Regeste</w:t>
      </w:r>
    </w:p>
    <w:p>
      <w:r>
        <w:t>DISPOSITIONS PÉNALES DE LA LSTUP ; PRÉSOMPTION D'INNOCENCE ; POUVOIR D'APPRÉCIATION ; PRINCIPE DE LA BONNE FOI ; INTERPRÈTE ; DIRECTIVE 2008/115/CE ; FIXATION DE LA PEINE ; PEINE PÉCUNIAIRE | LStup19.1; LEtr115.1b; CP41; CP49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2.1.2.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La direction de la procédure fait appel à un interprète lorsqu'une personne participant à la procédure ne comprend pas la langue de la procédure ou n'est pas en mesure de s'exprimer suffisamment bien dans cette langue (art. 68 al. 1 CPP). Le contenu essentiel des actes de procédure les plus importants est porté à la connaissance du prévenu oralement ou par écrit dans une langue qu'il comprend, même si celui-ci est assisté d'un défenseur (art. 68 al. 2 CPP). L'art. 68 al. 2 CPP renvoie aux droits particuliers du prévenu, qui découlent pour l'essentiel des art. 32 al. 2 de la Constitution fédérale de la Confédération suisse du 18 avril 1999 (Cst. ; RS 101), 6 par. 3 let. a et e de la Convention de sauvegarde des droits de l'homme et des libertés fondamentales du 4 novembre 1950 (CEDH ; RS 0.101), 14 par. 3 let. a et f du Pacte international relatif aux droits civils et politiques du 16 décembre 1966 (RS 0.103.2 ; Pacte ONU II), ainsi que de la pratique y relative.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(arrêts du Tribunal fédéral 6B_397/2015 du 26 novembre 2015 consid. 1.1 et 6B_587/2013 du 22 décembre 2014 consid. 5.2 et les références citées). Même si, à la suite d'un oubli du législateur, l'art. 68 al. 1 CPP ne se réfère qu'à la direction de la procédure, la police dispose également du droit de faire appel à un interprète ou à un traducteur dans les cas visés par les art. 143 et 158 CPP (D. EQUEY, L'interprète et le traducteur dans la procédure pénale , SJ 2013 II 429/430 et les références citées). 2.2.2. L’art. 5 al. 3 Cst. impose aux parties au procès pénal de se comporter conformément aux règles de la bonne foi (ATF 138 I 97 consid. 4.1.5 p. 101 ; arrêt du Tribunal fédéral 1C_461/2010 du 31 janvier 2011 consid. 3.2). Ainsi, la partie qui s’aperçoit qu’une règle de procédure a été violée à son détriment ne saurait laisser la procédure suivre son cours sans réagir, les manœuvres dilatoires n’étant pas admissibles. La partie qui renonce sciemment à faire valoir la violation d’une règle de procédure devant un juge qui serait en mesure d’en réparer les conséquences est en principe déchue du droit de se prévaloir de cette violation dans la suite de la procédure (ATF 138 I 97 consid. 4.1.5 p. 101 ; ATF 135 III 334 consid. 2.2 p. 336 ; arrêt du Tribunal fédéral 6B_672/2012 du 19 mars 2013 consid. 4).</w:t>
      </w:r>
    </w:p>
    <w:p>
      <w:r>
        <w:rPr>
          <w:b/>
        </w:rPr>
        <w:t>E. 2.3</w:t>
      </w:r>
    </w:p>
    <w:p>
      <w:r>
        <w:t>L'appelant ne saurait être suivi lorsqu'il affirme que ses déclarations à la police sont inexploitables, au motif qu'il ne comprendrait pas le Portugais, soit la langue dans laquelle il a été interrogé avec l'assistance d'un interprète. Ce dernier, extérieur à la police, n'aurait pas pu faire son travail si l'appelant avait montré des difficultés de compréhension susceptibles d'empêcher son audition et aurait réagi si tel avait été le cas. Or, les réponses consignées dans le procès-verbal sont relativement élaborées et détaillées. L'appelant ne soutient d'ailleurs pas que l'ensemble des propos retranscrits par la police, qui portent notamment sur son arrivée en Suisse, sa vie à Genève, sa compagne, les autres occupants de l'appartement ou encore l'argent retrouvé dans sa chambre, ne refléteraient pas ses déclarations. Seuls ses propos en relation avec le trafic de cocaïne auraient été déformés, ce qui est pour le moins surprenant. Lorsque l'appelant a été interrogé par le Ministère public, assisté de nouveau d'un interprète en langue portugaise, il n'est pas non plus apparu qu'il aurait eu des difficultés à comprendre les questions et à y répondre. D'après le dossier, son conseil, qui était présent à cette occasion, n'a formulé aucune objection ni sollicité l'intervention d'un traducteur dans une autre langue. Avec le premier juge, il convient ainsi de retenir que les déclarations de l'appelant à la police, selon lesquelles la cocaïne retrouvée sur lui était destinée à la vente, pour un prix de CHF 80.- la boulette, sont crédibles. Ses rétractations devant le Ministère public, après avoir été conseillé par un avocat, ne le sont en revanche pas et s'expliquent par les besoins de la cause, l'appelant ayant un intérêt évident à mentir à ce sujet. On relèvera encore que l'appelant ne soutient pas sérieusement qu'il serait un consommateur de cocaïne, de sorte que seul le trafic explique la détention de stupéfiants. Le verdict de culpabilité d'infraction à l'art. 19 al. 1 LStup sera confirmé.</w:t>
      </w:r>
    </w:p>
    <w:p>
      <w:r>
        <w:rPr>
          <w:b/>
        </w:rPr>
        <w:t>E. 3</w:t>
      </w:r>
    </w:p>
    <w:p>
      <w:r>
        <w:t>Ayant commis, en sus de l'infraction à la loi sur les étrangers, un délit à la LStup, l'appelant est soustrait à l'application de la Directive du Parlement européen et du Conseil du 16 décembre 2008 relative aux normes et procédures communes applicables dans les Etats membres au retour des ressortissants de pays tiers en séjour irrégulier (Directive sur le retour 2008/115/CE), de sorte qu'il peut être sanctionné du chef de séjour illégal (arrêts du Tribunal fédéral 6B_1189/2015 du 13 octobre 2016 consid. 2 et 6B_320/2013 du 29 août 2013 consid. 3.2), étant rappelé qu'il ne conteste pas avoir séjourné en Suisse, dépourvu des autorisations nécessaires. Pour ces motifs, l'appelant peut être sanctionné pour l'ensemble des faits pour lesquels il a été reconnu coupable.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4.1.2. Aux termes de l'art. 40 CP, la durée de la peine privative de liberté est en règle générale de six mois au moins et de 20 ans plus. Une peine privative de liberté ferme de moins de six mois peut être prononcée uniquement si les conditions du sursis à l'exécution de la peine ne sont pas réunies et s'il y a lieu d'admettre que ni une peine pécuniaire ni un travail d'intérêt général ne peuvent être exécutés (art. 41 al. 1 CP). Ces deux conditions sont cumulatives. 4.2.1. En l'occurrence, c'est à juste titre que le premier juge a mis l'appelant, qui n'a aucun antécédent inscrit à son casier judiciaire, au bénéfice du sursis, dont il remplit les conditions. Cette mesure lui est du reste acquise (art. 391 al. 2 CPP). Il s'ensuit qu'une courte peine privative de liberté ne peut être prononcée, l'une des deux conditions cumulatives à son octroi faisant défaut. Une peine pécuniaire sera prononcée en lieu et place de la peine privative de liberté. Le travail d'intérêt général, que le prévenu ne revendique pas, n'entre pas en ligne de compte, vu son statut administratif. 4.2.2. La faute de l'appelant n'est pas anodine et il y a concours d'infractions. Il s'est adonné à un trafic de stupéfiants qui porte sur des drogues dites dures, mais dans des quantités peu importantes. La période pénale du séjour illégal est longue. Pour précaire qu'elle soit, la condition de l'appelant ne justifie pas son comportement, ce d'autant qu'il existe des organismes qui viennent en aide aux personnes dans sa situation administrative et préviennent du dénuement qui ferait de la délinquance une des seules options envisageables pour survivre. Cette précarité résulte d'ailleurs de son refus de retourner dans son pays d'origine, alors que sa demande d'asile a été rejetée depuis longtemps. Sa collaboration à la procédure n'a pas été bonne, dès lors qu'il est revenu sur ses aveux initiaux, et sa prise de conscience est imparfaite. Au vu de ces considérations, une peine pécuniaire de 60 jours-amende sanctionne adéquatement la faute commise et sera prononcée. Le montant du jour-amende sera quant à lui fixé au minimum légal de CHF 10.-, pour tenir compte de la situation financière du prévenu.</w:t>
      </w:r>
    </w:p>
    <w:p>
      <w:r>
        <w:rPr>
          <w:b/>
        </w:rPr>
        <w:t>E. 5</w:t>
      </w:r>
    </w:p>
    <w:p>
      <w:r>
        <w:t>Dans sa déclaration d'appel, l'appelant a contesté la confiscation des sommes d'argent saisies et conclu à leur restitution. Il n'a pas développé cette conclusion dans son mémoire d'appel motivé. Les explications de l'appelant selon lesquelles CHF 450.-, sur les CHF 600.- saisis, appartiendraient à sa compagne, qui aurait gagné cet argent en travaillant, ne sont pas documentées, alors qu'il aurait été aisé d'en apporter la preuve. Elles apparaissent de circonstance, tout comme celles selon lesquelles une partie de l'argent lui aurait été donnée. Avec le premier juge, on ne voit pas quelle pourrait être la source licite de ces avoirs, alors que l'appelant vivait en Suisse depuis de nombreux mois sans avoir le droit d'exercer une activité lucrative et qu'il s'adonnait au trafic de stupéfiants. Les valeurs patrimoniales saisies étant de provenance illicite, la décision de confiscation sera confirmée.</w:t>
      </w:r>
    </w:p>
    <w:p>
      <w:r>
        <w:rPr>
          <w:b/>
        </w:rPr>
        <w:t>E. 6</w:t>
      </w:r>
    </w:p>
    <w:p>
      <w:r>
        <w:t>L'appelant, qui succombe partiellement, supportera la moitié des frais de la procédure envers l'Etat (art. 428 CPP).</w:t>
      </w:r>
    </w:p>
    <w:p>
      <w:r>
        <w:rPr>
          <w:b/>
        </w:rPr>
        <w:t>E. 7</w:t>
      </w:r>
    </w:p>
    <w:p>
      <w:r>
        <w:t>En l'espèce, l'activité exercée par M e B______ en appel est en adéquation avec la nature, l'importance et la difficulté de la cause, de sorte qu'elle sera prise en compte dans son intégralité. Un forfait pour l'activité diverse de 20% lui sera, par ailleurs, alloué. Son indemnité sera arrêtée à CHF 1'166.40, correspondant à 4h30 d'activité de chef étude, au tarif de CHF 200.-/heure (CHF 900.-), plus la majoration forfaitaire de 20% (CHF 180.-) et l'équivalent de la TVA au taux de 8% (CHF 86.40).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