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P/21276/2018 vom 20. April 2023</w:t>
      </w:r>
    </w:p>
    <w:p>
      <w:r>
        <w:t>GE Cour de justice, 2023-04-20, FR</w:t>
      </w:r>
    </w:p>
    <w:p>
      <w:r>
        <w:rPr>
          <w:b/>
        </w:rPr>
        <w:t xml:space="preserve">Quelle: </w:t>
      </w:r>
      <w:r>
        <w:t>https://mcp.opencaselaw.ch/entscheid/ge_gerichte_P_21276_2018</w:t>
      </w:r>
    </w:p>
    <w:p>
      <w:r>
        <w:t>FR: GE_GERICHTE P/21276/2018 du 20 avril 2023</w:t>
      </w:r>
    </w:p>
    <w:p>
      <w:r>
        <w:t>IT: GE_GERICHTE P/21276/2018 del 20 aprile 2023</w:t>
      </w:r>
    </w:p>
    <w:p>
      <w:pPr>
        <w:pStyle w:val="Heading2"/>
      </w:pPr>
      <w:r>
        <w:t>Regeste</w:t>
      </w:r>
    </w:p>
    <w:p>
      <w:r>
        <w:t>GESTION DÉLOYALE;PREUVE ILLICITE | CP.158.al1.ch1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9 CPP dispose qu'une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du Tribunal fédéral 6B_665/2017 du 10 janvier 2018 consid. 1.1). Des imprécisions relatives au lieu ou à la date sont sans portée, dans la mesure où le prévenu ne peut avoir de doute sur le comportement qui lui est reproché (arrêts du Tribunal fédéral 6B_696/2019 du 24 septembre 2019 consid. 1.2.1 ; 6B_275/2016 du 9 décembre 2016 consid. 2.1). 2.1.2. En l'espèce, les faits retenus dans l'ordonnance pénale du 15 novembre 2021, valant acte d'accusation, décrivent que l'appelant a utilisé les fonds présents sur le compte de l'association pour financer l'achat de matériel de musique, destiné à son usage propre, s'enrichissant ainsi illégitimement, avec la précision qu'il avait ainsi détourné un montant de CHF 21'260.85 et EUR 6'111.-. Avec l'appelant, il faut constater que ces faits n'ont pas été retenus par le premier juge en lien avec le chef d'accusation d'abus de confiance, le jugement querellé retenant que l'appelant a acquis le matériel de musique avec l'objectif d'en faire profiter l'association, agissant dans le cadre de ses activités en tant qu'organe de D______. Quant aux faits retenus par le TP pour fonder la culpabilité de gestion déloyale, il est exact que l'achat d'un ordinateur pour un dommage de CHF 1'076.10, les frais de transport et de stockage pour un dommage de EUR 6'111.84, la facture d'impression et de reliure pour CHF 868.- de même que celle de EUR 2'410.- pour la réalisation de la brochure en octobre 2017, ainsi que l'achat de meubles à hauteur de CHF 5'701.15 ne sont pas décrits dans les faits reprochés à l'appelant (ch. 1 de l'ordonnance pénale). L'appelant ne peut partant être condamné en lien avec ces faits. Pour ces mêmes motifs, il ne peut pas l'être non plus pour les éventuels loyers payés, tout ou partie, avec les fonds reçus. Faute d'appel joint du Ministère public, d'une part, et en l'absence d'une possible requalification juridique des faits, d'autre part, la culpabilité de l'appelant ne sera examinée qu'à l'aune de ce qui a été retenu dans l'acte d'accusation, la Cour étant liée par le contenu de celui-ci. 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ibidem ). 3.1.2. L'art. 158 ch. 1 al. 1 CP punit pour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L'art. 158 CP suppose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 6B_412/2016 du 10 février 2017 consid. 2.1 in fine ). 3.1.3. Revêt la qualité de gérant la personne à qui incombe, de fait ou formellement, la responsabilité d'administrer un complexe patrimonial non négligeable dans l'intérêt d'autrui (ATF 129 IV 124 consid. 3.1 p. 126 ; ATF 123 IV 17 consid. 3b p. 21 ; arrêt du Tribunal fédéral 6B_830/2011 du 9 octobre 2012 consid. 2.1). 3.1.4. Pour qu'il y ait gestion déloyale, il ne suffit pas que l'auteur ait été gérant, ni qu'il ait violé une quelconque obligation de nature pécuniaire à l'endroit de la personne dont il gère tout ou partie du patrimoine. L'obligation violée doit être liée à la gestion confiée. Le comportement délictueux consiste à violer le devoir de gestion ou de sauvegarde (ATF 123 IV 17 consid. 3c ; ATF 120 IV 190 consid. 2b ;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 6B_412/2016 du 10 février 2017 consid. 2.3 ; 6B_845/2014 du 16 mars 2015 consid. 3.2 ; 6B_967/2013 du 21 février 2014 consid. 3.2). Dans le cadre d'une association, la direction a le droit et le devoir de gérer les affaires de l'association et de la représenter en conformité des statuts (art. 69 du Code civil [CC]). Chaque membre de la direction, en tant qu'organe de l'association, répond envers elle du dommage qu'il lui aura causé, en application de l'art. 398 du code des obligations (CO) (P. PICHONNAZ / B. FOEX (éds.), Commentaire romand, Code civil I , Bâle 2010, N. 46 ad art. 69 CC). 3.1.5.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 ATF 123 IV 17 consid. 3d ; ATF 122 IV 279 consid. 2a ; ATF 121 IV 104 consid. 2c ; arrêt du Tribunal fédéral 6B_845/2014 du 16 mars 2015 consid. 3.3). Un dommage temporaire ou provisoire est suffisant (ATF 122 IV 279 consid. 2a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3.1.6. Sur le plan subjectif, l'infraction est intentionnelle, la conscience et la volonté de l'auteur devant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 ; arrêts du Tribunal fédéral 6B_787/2016 du 2 mai 2017 consid. 2.5 ; 6B_412/2016 du 10 février 2017 consid. 2.5). 3.2. En l'espèce, il est établi et non spécifiquement contesté qu'en tant que président de l'association, l'appelant bénéficiait d'un droit de signature individuelle sur le compte de l'association, de sorte qu'il avait un pouvoir de disposition autonome sur les biens administrés et un devoir de gestion, ou à tout le moins de sauvegarde, des intérêts pécuniaires de l'association, fondant une qualité de gérant. En cette qualité, il lui incombait de veiller à la sauvegarde des intérêts pécuniaires de l’association. Les statuts de l'association suisse sont peu précis quant à ses buts. En effet, ceux-ci visent de manière toute générale le soutien et l'aide des enfants et habitants des favelas par le biais d'activité sportives, culturelles, éducatives et artistiques. Aucune autre instruction écrite sur la manière de mener les projets de l'association ou cahier des charges ne ressort de la procédure. Seuls figurent ainsi les objectifs mentionnés dans les courriers de communes ayant versé des subventions. Celles-ci peuvent être qualifiées de donations avec charge au sens de l'art. 245 CO ; cependant, aucune violation d'un devoir de gestion ne peut être imputé à l'appelant à ce titre, en raison du contenu lacunaire de la mise en accusation. Faute d'appel joint du Ministère public, la question de l'abus des biens sociaux ne peut pas non plus être examinée. Cela étant, la Cour relève que, bien que la brochure de présentation consacre tout un programme détaillé pour le financement des activités sportives et de la bibliothèque, l'objectif du développement musical est clairement évoqué dans la rubrique des actions entreprises et ce projet était également connu de plusieurs membres de l'association. Si l'association genevoise a effectivement repris le nom de l'association brésilienne, elle n'était pas vouée, aux termes de ses statuts, à financer spécifiquement et exclusivement le programme existant au Brésil. Aucun lien juridique ne les liait au demeurant. Au vu de ces éléments et après longues délibérations, la Cour retiendra que l'achat du matériel de musique, en vue de la création d'un studio pour les enfants de l'association brésilienne, entrait dans le large but statutaire de l'association genevoise, de sorte que l'appelant n'a pas violé son devoir de gestion ni lésé les intérêts de celle-ci de ce fait. Ce projet était par ailleurs compatible avec la mission de l'association brésilienne. Reste à déterminer si l'appelant a acheté le matériel de musique avec les fonds de l'association pour se l'approprier, causant de la sorte un préjudice. Selon les déclarations de l'appelant, le matériel de musique se trouverait – ainsi que ses propres affaires en donation – dans un container entreposé au port de Q______ [Brésil]. Selon l'attestation du transporteur O______, l'expédition était bien libellée au nom d'un membre de l'association brésilienne. Dans la mesure où personne n'est allé retirer ledit container, il n'est pas possible de déterminer avec certitude s'il contenait bel et bien le matériel litigieux. Cependant, comme l'a constaté à juste titre le premier juge, aussitôt acquis, le matériel aurait été rapidement entreposé auprès du transporteur avant d'être finalement expédié en faveur de l'association près d'un an plus tard. Bien que les raisons relatives à ce long délai d'exécution restent peu compréhensibles, la Cour relève qu'il ne ressort de la procédure aucun indice concret permettant de retenir que l'appelant avait l'intention de s'approprier le matériel, que ce soit lorsqu'il était entreposé à V______ [France] ou une fois livré au Brésil. Rien n'indique non plus que l'appelant l'aurait utilisé à son propre profit entre-temps. Par ailleurs, la théorie selon laquelle la valeur réelle des biens matériels figurant sur la liste de colisage a été volontairement réduite pour limiter les frais de douane est plausible, d'une part, et compatible avec le nombre et le poids conséquent des cartons entreposés, d'autre part. Aussi, en vertu du principe in dubio pro reo , il sera tenu pour établi que l'achat a bien été fait dans le but d'en faire profiter à l'association brésilienne dans la droite ligne du projet genevois. Dans cette mesure, aucun préjudice tel que libellé dans l'ordonnance pénale ne peut être retenu. Comme précédemment retenu, l'appelant a eu l'intention d'ajouter son apport personnel au projet brésilien, en développant un pôle musical pour les enfants de [l'association] D______, programme qui était connu de plusieurs personnes. Enfin, la dissolution de l'association ne peut lui être imputée, s'agissant d'une initiative de C______, laquelle souhaitait en sortir bien avant l'ouverture de la présente procédure de surcroît. Au vu de ce qui précède, l'appelant sera acquitté du chef de gestion déloyale et le jugement entrepris réformé dans ce sens.</w:t>
      </w:r>
    </w:p>
    <w:p>
      <w:r>
        <w:rPr>
          <w:b/>
        </w:rPr>
        <w:t>E. 4</w:t>
      </w:r>
    </w:p>
    <w:p>
      <w:r>
        <w:t>En définitive, l'appelant obtient entièrement gain de cause en appel, de sorte que tous les frais de la procédure préliminaire et de première instance ainsi que ceux de la procédure d'appel seront laissés à la charge de l'État (art. 428 CPP).</w:t>
      </w:r>
    </w:p>
    <w:p>
      <w:r>
        <w:rPr>
          <w:b/>
        </w:rPr>
        <w:t>E. 5</w:t>
      </w:r>
    </w:p>
    <w:p>
      <w:r>
        <w:t>5.1.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De manière constante, le Tribunal fédéral a ainsi retenu que l'indemnité équitable, pour un avocat, devait au minimum être de CHF 180.- par heure en moyenne suisse, des situations particulières dans les cantons pouvant justifier un montant plus haut ou plus bas (ATF 141 IV 124 consid. 3.2 p. 127 ; 137 III 185 consid. 5.1et 5.4 p. 191 ; 132 I 201 consid. 8). Dans un arrêt 2C_725/2010 du 31 octobre 2011 consid. 2, le Tribunal fédéral a indiqué que l'on pouvait tout au plus inférer de la cherté notoire de la vie à Genève que l'indemnité horaire pour un conseil d'office prévue par la législation cantonale genevoise à hauteur de CHF 200.- constituait un minimum si l'on tenait compte du montant de CHF 180.- précité et de l'augmentation des prix intervenue depuis 2006, année durant laquelle ce montant a été pour la première fois arrêté.</w:t>
      </w:r>
    </w:p>
    <w:p>
      <w:r>
        <w:rPr>
          <w:b/>
        </w:rPr>
        <w:t>E. 5.4</w:t>
      </w:r>
    </w:p>
    <w:p>
      <w:r>
        <w:t>Considéré globalement, l'état de frais produit par M e B______, défenseur d'office de A______, satisfait les exigences légales et jurisprudentielles régissant l'assistance judiciaire gratuite en matière pénale, sous réserve de 65 minutes qui seront retranchées s'agissant des postes " examen du dossier et conférence interne avec collaborateur ", " examen dossier – jugement " et " examen dossier/déclaration d'appel ", ces actes étant déjà couverts par le forfait, d'une part, et l'AJ n'ayant pas pour vocation d'indemniser les conférences internes, d'autre part. Le tarif horaire qui sera appliqué est celui de l'assistance juridique. L'appelant, se bornant à citer d'anciennes jurisprudences antérieures à l'entrée en vigueur du nouveau tarif de l'assistance juridique, n'avance pas de motif permettant de s'en écarter. Par ailleurs, il se borne à alléguer que l'activité du stagiaire – laquelle devrait être inférieure de 30 à 40% à celle d'un avocat breveté – doit être rémunérée au tarif minimal de CHF 180.- l'heure, alors qu'à teneur de la jurisprudence citée, il s'agit précisément du tarif minimum pour un avocat breveté. La rémunération de M e B______ sera partant arrêtée à CHF 1'199.50, soit CHF 1'012.50 correspondant à six heures et 45 minutes d'activité de collaborateur au tarif de CHF 150.-/heure, plus la majoration forfaitaire de 10% en CHF 101.25 et l'équivalent de la TVA au taux de 7.7% en CHF 85.75.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