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P/21271/2017 vom 30. Januar 2019</w:t>
      </w:r>
    </w:p>
    <w:p>
      <w:r>
        <w:t>GE Cour de justice, 2019-01-30, FR</w:t>
      </w:r>
    </w:p>
    <w:p>
      <w:r>
        <w:rPr>
          <w:b/>
        </w:rPr>
        <w:t xml:space="preserve">Quelle: </w:t>
      </w:r>
      <w:r>
        <w:t>https://mcp.opencaselaw.ch/entscheid/ge_gerichte_P_21271_2017</w:t>
      </w:r>
    </w:p>
    <w:p>
      <w:r>
        <w:t>FR: GE_GERICHTE P/21271/2017 du 30 janvier 2019</w:t>
      </w:r>
    </w:p>
    <w:p>
      <w:r>
        <w:t>IT: GE_GERICHTE P/21271/2017 del 30 gennaio 2019</w:t>
      </w:r>
    </w:p>
    <w:p>
      <w:pPr>
        <w:pStyle w:val="Heading2"/>
      </w:pPr>
      <w:r>
        <w:t>Regeste</w:t>
      </w:r>
    </w:p>
    <w:p>
      <w:r>
        <w:t>CPP.10.al3; LStup.19.al2; LEtr.115.al1; CP.49</w:t>
      </w:r>
    </w:p>
    <w:p>
      <w:pPr>
        <w:pStyle w:val="Heading2"/>
      </w:pPr>
      <w:r>
        <w:t>Erwägungen</w:t>
      </w:r>
    </w:p>
    <w:p>
      <w:r>
        <w:rPr>
          <w:b/>
        </w:rPr>
        <w:t>E. 1.1</w:t>
      </w:r>
    </w:p>
    <w:p>
      <w:r>
        <w:t>L'appel du prévenu est recevable pour avoir été interjeté et motivé selon la forme et dans les délais prescrits (art. 398 et 399 CPP).</w:t>
      </w:r>
    </w:p>
    <w:p>
      <w:r>
        <w:rPr>
          <w:b/>
        </w:rPr>
        <w:t>E. 1.2</w:t>
      </w:r>
    </w:p>
    <w:p>
      <w:r>
        <w:t>Le recours du défenseur d’office, qui a qualité pour contester par cette voie de droit l’indemnisation de ses honoraires, a été formé en temps utile et sous la forme requise (art. 135 al. 3 et 396 al. 1 CPP). En raison de sa subsidiarité, son examen relève de la compétence de la CPAR, une fois celle-ci saisie d’un appel contre le jugement fixant l’indemnité litigieuse (ATF 139 IV 199 consid. 5.6 ; arrêt du Tribunal fédéral 6B_451/2016 du 8 février 2017 consid. 2.3).</w:t>
      </w:r>
    </w:p>
    <w:p>
      <w:r>
        <w:rPr>
          <w:b/>
        </w:rPr>
        <w:t>E. 2</w:t>
      </w:r>
    </w:p>
    <w:p>
      <w:r>
        <w:t>2.1. Dans sa déclaration d'appel, la partie doit notamment indiquer si elle attaque le jugement dans son ensemble ou seulement sur certaines parties (art. 399 al. 3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Si la portée de l'appel peut être restreinte ultérieurement, par le biais d'un retrait partiel, elle ne peut par contre pas être élargie (arrêt du Tribunal fédéral 6B_492/2018 du 13 novembre 2018 consid. 2.3), sous réserve des points connexes ou qui forment un tout.</w:t>
      </w:r>
    </w:p>
    <w:p>
      <w:r>
        <w:rPr>
          <w:b/>
        </w:rPr>
        <w:t>E. 2.2</w:t>
      </w:r>
    </w:p>
    <w:p>
      <w:r>
        <w:t>En l'espèce, l'appelant a indiqué dans sa déclaration d'appel qu'il contestait la peine qui lui avait été infligée ainsi que le refus du sursis. Il a attaqué l'appréciation des faits opérée par les premiers s'agissant de l'étendue du trafic de stupéfiants auquel il avait participé (quantité de drogue retenue). L'appelant n'a pas du tout fait référence aux infractions à la LEtr et à la période pénale retenue par les premiers juges à cet égad. On peut ainsi se demander, comme l'a soulevé le Ministère public, si la conclusion présentée à l'audience d'appel concluant à limiter la période pénale au mois d'octobre 2017 n'était pas un élargissement inadmissible des conclusions d'appel. La question souffre de rester indécise. En effet, l'on comprend du jugement entrepris, lu à la lumière des conclusions des parties, telles qu'elles y sont résumées en deuxième page, que l'appelant a été reconnu coupable d'infractions à la LEtr uniquement pour le mois d'octobre 2017, les faits n'étant admis que dans cette mesure. Cette lecture est d'autant plus fondée que les premiers juges ont acquitté le prévenu du chef de trafic de stupéfiants pour des ventes antérieures au mois d'octobre 2017. C'est donc à tort que l'appelant a soutenu, à l'audience, que le jugement entérinait implicitement la période pénale mentionnée dans l'acte d'accusation.</w:t>
      </w:r>
    </w:p>
    <w:p>
      <w:r>
        <w:rPr>
          <w:b/>
        </w:rPr>
        <w:t>E. 3</w:t>
      </w:r>
    </w:p>
    <w:p>
      <w:r>
        <w:t>3.1.1. La présomption d’innocence, dont le principe in dubio pro reo est le corollaire, est garantie expressément par les art. 6 par. 2 CEDH et 32 al. 1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arrêts du Tribunal fédéral 6B_40/2013 du 2 mai 2013 consid. 1.1 et 6B_667/2012 du 12 février 2013 consid. 1.1). 3.1.2 .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3.1.3 . Dans le cadre du principe de libre appréciation des preuves,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témoin que sur les nouvelles et apprécier les circonstances dans lesquelles celui-ci a modifié ses déclarations initiales (arrêts du Tribunal fédéral 6B_157/2011 du 20 septembre 2011 consid. 1.2 et 6B_626/2008 du 11 novembre 2008 consid. 2.1).</w:t>
      </w:r>
    </w:p>
    <w:p>
      <w:r>
        <w:rPr>
          <w:b/>
        </w:rPr>
        <w:t>E. 3.2</w:t>
      </w:r>
    </w:p>
    <w:p>
      <w:r>
        <w:t>En l'espèce, le récit livré par le prévenu E______, qui a d'emblée désigné l'appelant comme étant l'homme qui lui remettait la drogue et auquel il remettait l'argent une fois l'héroïne vendue, est globalement crédible, fiable et corroboré par les autres éléments du dossier. Ainsi, D______, qui a été entendue séparément dans la foulée de l'arrestation, a décrit de manière concordante la rencontre à K_____ (FR) avec le frère de l'appelant et les modalités relatives à l'organisation du trafic. Les indications fournies par E______ ont aussi permis de localiser et d'arrêter l'appelant. La version de ce prévenu est confirmée par les résultats de l'enquête. L'ADN de l'appelant a en effet été mis en évidence tant sur la drogue saisie que sur le téléphone portable retrouvé sur le chemin de fuite. L'appelant s'était d'ailleurs débarrassé de cet appareil précisément parce qu'il était incriminant pour lui, l'analyse de la téléphonie confirmant que l'appelant s'était trouvé sur les lieux du plan entre le 13 et le 17 octobre 2017, en soirée, et qu'il était en contact avec son frère, conformément aux déclarations du prévenu E______. A l'inverse, les déclarations de l'appelant n'ont pas cessé de varier et sont dépourvues de toute crédibilité. Il a d'abord accusé ses deux coprévenus de mentir et contesté toute implication dans un trafic de stupéfiants, n'hésitant pas à prétendre qu'il avait pris les policiers pour des malfrats qui " voulaient sa peau ". Au gré des auditions, il a adapté son récit aux résultats de l'enquête, concédant qu'il avait effectivement remis des minigrips au prévenu E______ ou que le téléphone portable ______ était le sien, parce que les analyses ADN l'accablaient. L'appelant a opportunément inventé le dénommé " M______ " pour mettre son frère hors de cause, pourtant clairement identifié par les deux autres prévenus. Au sujet des quantités trafiquées, la CPAR retient, avec les premiers juges, que les précisions fournies par le prévenu E______ devant le Ministère public, à tête reposée et alors qu'il était lucide, sont détaillées et crédibles. D'ailleurs, cette version, selon laquelle il y avait eu plusieurs transactions portant sur des quantités qui avaient varié (10, 20 et 13 sachets), était pour l'essentiel la même que celle fournie à la police, si ce n'est que devant le Ministère public le précité a fait état d'une transaction supplémentaire portant sur 20 sachets minigrips. Contrairement à ce que semble soutenir la défense, le prévenu E______ ne s'est pas limité à avaliser un calcul fourni par le Ministère public, preuve en est qu'il l'a rectifié s'agissant du nombre de minigrips proposés au policier en civil. Enfin, il ressort des déclarations concordantes des prévenus D______ et E______ que la rencontre à K_____ (FR) avec le frère de l'appelant a eu lieu le jeudi 12 octobre et non pas le vendredi 13 octobre 2017. Le prévenu E______ n'avait aucun intérêt à faire état d'une transaction supplémentaire et ses propos ne trahissent pas une volonté de charger l'appelant: il a par exemple indiqué qu'il n'y avait pas eu d'échange le dimanche ou le lundi. Enfin, la version de E______, selon laquelle la dernière livraison aurait porté sur 13 sachets minigrips, et non pas 10 comme soutenu par l'appelant, est corroborée par le fait que la transaction avec le policier en civil avait porté sur 11 sachets, qu'un minigrip avait été vendu préalablement le même jour et que l'équivalent d'une dose de 5 grammes d'héroïne était encore en possession des prévenus E______ et D______. Il résulte de ce qui précède que l'appelant a remis au prévenu E______, à quatre reprises, ce qu'il n'a plus contesté en première instance, une quantité de 63 sachets minigrips d'héroïne, d'un poids de 4.5 grammes en moyenne chacun, soit 283.50 grammes bruts d'héroïne ou 48 grammes nets (taux de pureté d'environ 17%). Partant, le verdict de culpabilité sera confirmé.</w:t>
      </w:r>
    </w:p>
    <w:p>
      <w:r>
        <w:rPr>
          <w:b/>
        </w:rPr>
        <w:t>E. 4</w:t>
      </w:r>
    </w:p>
    <w:p>
      <w:r>
        <w:t>4.1. Le cas grave d'infraction à l'art. 19 al. 2 LStup est sanctionné d'une peine privative de liberté d'un an au moins. L'art. 115 al. 1 LEtr punit d'une peine privative de liberté d'un an au plus ou d'une peine pécuniaire la violation des règles sur l'entrée et le séjour illégal en Suisse.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4.2.3 .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4.2.4.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4.2.5 .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2e éd., Bâle 2007, n. 100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4.2.6 . D'après l'art. 49 al. 1 CP, si, en raison d'un ou de plusieurs actes, l'auteur remplit les conditions de plusieurs peines de même genre, le juge le condamne à la peine de l'infraction la plus grave et l'augmente dans une juste proportion. 4.3.1. La faute de l'appelant est en l'espèce lourde. Son trafic a porté sur une quantité importante d'héroïne, soit une drogue dite dure et dont les effets sur la santé des consommateurs sont dévastateurs. La limite du cas grave a été largement dépassée. Si la période pénale est brève, l'appelant a agi à quatre reprises et l'activité criminelle n'a pris fin qu'en raison de son arrestation. Bien que le trafic puisse être qualifié de local, l'appelant était directement en contact avec le fournisseur de la drogue, qui se trouvait à K_____ (FR), soit de l'autre côté de la frontière. Sa position était supérieure et moins exposée que celle d'un revendeur de rue. L'appelant, qui n'est lui-même pas consommateur d'héroïne, a agi mû par le seul appât du gain. Contrairement à ce qu'il soutient, sa liberté d'agir était entière, rien dans le dossier ne laissant penser le contraire. Sa collaboration à la procédure doit être qualifiée d'exécrable. Il a livré des explications farfelues, inventant par exemple de toutes pièces une histoire de "vendetta familiale" ou l'existence d'un fantomatique "M______". Il n'a eu de cesse de modifier sa version, assurant qu'il disait toute la vérité, et a accusé la prévenue D______, qui avait affirmé qu'elle l'avait rencontré à K_____ (FR) avec son frère, de mentir. Il a encore suggéré en appel que le prévenu E______ aurait faussement accusé son frère H_____ sur instigation de tierces personnes. L'attitude de l'appelant tout au long de la procédure montre qu'il n'y a aucune prise de conscience. Il a notamment soutenu que la justice avait détruit sa vie, alors qu'il est le seul responsable de sa situation, ou qu'il ignorait pour quelle raison il avait été condamné en juin 2017, ce qui n'est guère crédible. Ses antécédents spécifiques, dont deux condamnations à des peines privatives de liberté fermes d'une certaine importance, laissent penser qu'il est durablement installé dans la délinquance et que ses précédentes expériences de la prison n'ont eu aucun effet dissuasif. Il y a concours d'infractions. L'appelant a persisté à contrevenir à la LEtr, en revenant en Suisse nonobstant une interdiction d'entrée dans le pays en vigueur pour une durée indéterminée et dont il avait parfaitement connaissance. Sa situation personnelle est sans particularité et ne saurait en aucun cas justifier ses actes. Rien ne documente les besoins d'argent allégués, qui auraient été rendus nécessaires par la maladie de son épouse. Ce propos n'est pas plus crédible que les autres. L'appelant n'a du reste rien versé en faveur de son épouse par le débit de son compte en prison, pourtant alimenté par des versements de tierces personnes. Eu égard aux éléments qui précèdent, en particulier à la faute commise, qui est lourde même si les quantités d'héroïne ont été légèrement revues pour tenir compte du poids inférieur à 5 grammes de chaque minigrip, une peine privative de liberté de trois ans est parfaitement adaptée et sera confirmée. L'appelant ne peut rien tirer en sa faveur de la peine de six mois infligée à la prévenue D______. Toxicomane, sans antécédents judiciaires, elle a tenu un rôle secondaire dans le trafic, lequel n'a pas franchi la limite du cas grave en ce qui la concerne. Or, la peine maximale pour l'infraction à l'art. 19 al. 1 LStup est de trois ans contre les 20 ans pour le cas grave. Il n'y a pas non plus de concours d'infractions dans son cas. Enfin, la collaboration de cette prévenue à la procédure a été qualifiée d'excellente tout comme sa prise de conscience, de sorte que la différence de peine infligée est amplement justifiée. 4.3.2. L'appelant, qui ne peut se prévaloir d'aucune circonstance particulièrement favorable, ne réunit pas les conditions du sursis partiel (cf. art. 42 al. 2 CP applicable aussi au sursis partiel), en particulier au vu de sa condamnation de 2013 à une peine privative de liberté de trois ans et six mois, intervenue dans les cinq ans précédant les infractions d'octobre 2017. L'appel doit ainsi être entièrement rejeté.</w:t>
      </w:r>
    </w:p>
    <w:p>
      <w:r>
        <w:rPr>
          <w:b/>
        </w:rPr>
        <w:t>E. 5</w:t>
      </w:r>
    </w:p>
    <w:p>
      <w:r>
        <w:t>L’appelant, qui succombe, supportera les frais de la procédure envers l’Etat, comprenant un émolument de CHF 2’000.- (art. 428 al. 1 CPP).</w:t>
      </w:r>
    </w:p>
    <w:p>
      <w:r>
        <w:rPr>
          <w:b/>
        </w:rPr>
        <w:t>E. 6.1</w:t>
      </w:r>
    </w:p>
    <w:p>
      <w:r>
        <w:t>.1. Selon l'art. 135 al. 1 CPP, le défenseur d'office est indemnisé conformément au tarif des avocats de la Confédération ou du canton du for du procès. L’art. 16 al. 1, let. c RAJ prescrit que l'indemnité, en matière pénale, est calculée selon le tarif horaire de CHF 200.- pour un chef d’étude, débours inclus (cf. décision de la Cour des plaintes du Tribunal pénal fédéral BB.2013.127 du 4 décembre 2013 consid. 3, 4.2 et 4.4). A compter du 1er octobre 2018, le tarif du collaborateur est passé de CHF 125.- à CHF 150.- de l'heure et celui du stagiaire de CHF 65.- à CHF 110.- de l'heure. Le nouveau tarif horaire prévu par le RAJ s'applique à tous les états de frais dont la taxation n'est pas définitive lors de son entrée en vigueur (art. 21A RAJ).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6.1.2</w:t>
      </w:r>
    </w:p>
    <w:p>
      <w:r>
        <w:t>De pratique constante, et admise par le Tribunal fédéral (notamment, arrêt 6B_1045/2017 du 27 avril 2018 consid. 3.3), une indemnité forfaitaire est allouée au défenseur d'office / conseil juridique gratuit pour couvrir les opérations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Le forfait est de 10% du temps retenu lorsque celui-ci dépasse les 30 heures d'activité, 20% en deça.</w:t>
      </w:r>
    </w:p>
    <w:p>
      <w:r>
        <w:rPr>
          <w:b/>
        </w:rPr>
        <w:t>E. 6.1.3</w:t>
      </w:r>
    </w:p>
    <w:p>
      <w:r>
        <w:t>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et, à compter du 1 er octobre 2018, à CHF 75.- pour les collaborateurs et à CHF 55.- pour les avocats-stagiaires, dite rémunération étant allouée d'office pour la juridiction d'appel pour les débats devant elle.</w:t>
      </w:r>
    </w:p>
    <w:p>
      <w:r>
        <w:rPr>
          <w:b/>
        </w:rPr>
        <w:t>E. 6.2</w:t>
      </w:r>
    </w:p>
    <w:p>
      <w:r>
        <w:t>En l'occurrence, dans son recours, le défenseur d'office n'a pas contesté le nombre d'heures retenu par les premiers juges aux termes de leur décision de taxation, mais uniquement le tarif horaire appliqué. Dès lors que cette taxation n'est pas définitive, vu le recours interjeté, il convient d'appliquer le nouveau tarif horaire pour l'activité de collaborateur, étant observé que le recourant a fait savoir qu'il n'en contestait pas la constitutionnalité dans le cas d'espèce. L'application du forfait de 10% est fondée et justifiée en l'espèce, vu le nombre total d'heures facturées, le recourant ne justifiant pas d'opérations dont la couverture ne serait pas assurée par le forfait. Il s'ensuit que la taxation de première instance sera modifiée en ce sens que les 23 heures et 55 minutes d'activité de collaborateur admises seront indemnisées à hauteur de CHF 150.- de l'heure, soit une différence de CHF 25.- de l'heure. Il convient d'ajouter CHF 10.- au forfait de déplacement du collaborateur, indemnisé à hauteur de CHF 65.- en première instance, soit une différence de CHF 80.- pour les huit déplacements facturés. Le recours est admis dans cette mesure, le solde dû au recourant étant de CHF 794.60, soit CHF 598.- (CHF 25.- x 23h55), le forfait de 10% (CHF 59.80.-), CHF 80.- pour les frais de déplacement, et la TVA de 7.7% en CHF 56.80. 6.3.1 . La CPAR a déjà examiné la question de savoir si l'indemnité due au défenseur d'office portait intérêt, et y a répondu par la négative, dans des décisions auxquelles le recourant était partie ( AARP/409/2018 ; AARP/388/2018 ). En effet, 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Selon l'art. 442 CPP, le recouvrement des frais de procédure découlant d'une procédure pénale est régi par les dispositions de la loi fédérale sur la poursuite pour dettes et la faillite du 11 avril 1889 (LP - RS 281.1) (al. 1). Les créances portant sur les frais de procédure se prescrivent par dix ans à compter du jour où la décision sur les frais est entrée en force. L'intérêt moratoire est de 5% (al. 2). Cet intérêt moratoire est exigible dès l'entrée en force de la décision qui statue sur les créances en indemnités (Y. JEANNERET / A. KUHN, Précis de procédure pénale, 2ème éd., Berne 2018, n. 5052 ; Y. JEANNERET, L'indemnisation du prévenu poursuivi à tort .. ou à raison, in : C. CHAPPUIS / B. WINIGER Le tort moral en question, Genève 2013, p. 131 ; A. KUHN / Y. JEANNERET [éds], Commentaire romand : Code de procédure pénale suisse, Bâle 2011, n. 10 ad art. 442). Selon l'art. 437 al. 1 let. a à c CPP, les jugements et les autres décisions de clôture contre lesquels un moyen de recours selon le présent code est recevable entrent en force lorsque le délai de recours a expiré sans avoir été utilisé (let. a) ; lorsque l'ayant droit déclare qu'il renonce à déposer un recours ou retire son recours (let. b) ; lorsque l'autorité de recours n'entre pas en matière sur le recours ou le rejette (let. c). L'entrée en force prend effet à la date à laquelle la décision est rendue (art. 437 al. 2 CPP). A ce stade, il y a lieu de différencier la créance (" Forderung aus Verfahrenskosten ") du défenseur d'office ou du conseil juridique gratuit de sa prétention en indemnisation (" Anspruch " ; AARP/ 336/2017 du 18 octobre 2017 consid. 1.2), cette dernière devenant exigible dès la fin du mandat du défenseur ou du conseil juridique, soit dès l'entrée en force de la décision mettant fin à la procédure au fond (arrêts du Tribunal fédéral 6B_546/2018 du 16 août 2018 consid. 3 ; 6B_1198/2017 du 18 juillet 2018 consid. 6.4 ; arrêt du Tribunal pénal fédéral BB.2017.198 du 14 février 2018 consid. 2.4 ; AARP/336/2017 du 18 octobre 2017 consid. 2 et 3 ; ACPR/212/2018 du 16 avril 2018 consid. 5 ; ACPR/618/2017 du 13 septembre 2017 consid. 6). 6.3.2. Le recourant soutient à tort que les intérêts moratoires seraient dus dès le prononcé du jugement de première instance sur l'entier de sa créance en indemnisation pour l'activité déployée en première instance, dès lors que la partie fixée par les premiers juges, a été exécutée (ou, si elle ne l'a été, l'aurait été sur simple demande de l'intéressé) et que le solde litigieux ne sera pas exigible avant l'entrée en force du présent arrêt. Dans la mesure où l'indemnisation du défenseur d'office ne vise pas à réparer un dommage subi, l'on ne saurait considérer une telle indemnité comme porteuse d'intérêts compensatoires (cf. par analogie ATF 143 IV 495 consid. 2.2.4 et arrêt du Tribunal fédéral 6B_1008/2017 du 5 avril 2018 consid. 2.3). 6.3.3. Il se justifie, compte tenu de l'admission partielle des conclusions initiales du recourant, de lui allouer, à titre de juste indemnité, un montant de CHF 500.- TTC, pour son recours. Le présent arrêt est par ailleurs rendu sans frais s'agissant du recours.</w:t>
      </w:r>
    </w:p>
    <w:p>
      <w:r>
        <w:rPr>
          <w:b/>
        </w:rPr>
        <w:t>E. 6.4</w:t>
      </w:r>
    </w:p>
    <w:p>
      <w:r>
        <w:t>Pour ce qui est de l'activité d'appel, et pour les motifs susmentionnés, il sera octroyé au défenseur d'office une indemnité de CHF 1'379.50 correspondant à trois heures d'activité du stagiaire à CHF 110.-/l'heure (CHF 330.-) et cinq heures d'activité de collaborateur à CHF 150.-/l'heure (CHF 750.-), sur les huit facturées, qui étaient excessives, vu le stade de la procédure, le dossier étant bien connu du défenseur d'office, et l'enjeu de l'appel. Il convient d'y ajouter le forfait de 10% (CHF 108.-) et la TVA à 7.7% (CHF 91.50), ainsi que les frais de traduction, dûment justifiés, pour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