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P/21224/2019 vom 21. April 2020</w:t>
      </w:r>
    </w:p>
    <w:p>
      <w:r>
        <w:t>GE Cour de justice, 2020-04-21, FR</w:t>
      </w:r>
    </w:p>
    <w:p>
      <w:r>
        <w:rPr>
          <w:b/>
        </w:rPr>
        <w:t xml:space="preserve">Quelle: </w:t>
      </w:r>
      <w:r>
        <w:t>https://mcp.opencaselaw.ch/entscheid/ge_gerichte_P_21224_2019</w:t>
      </w:r>
    </w:p>
    <w:p>
      <w:r>
        <w:t>FR: GE_GERICHTE P/21224/2019 du 21 avril 2020</w:t>
      </w:r>
    </w:p>
    <w:p>
      <w:r>
        <w:t>IT: GE_GERICHTE P/21224/2019 del 21 aprile 2020</w:t>
      </w:r>
    </w:p>
    <w:p>
      <w:pPr>
        <w:pStyle w:val="Heading2"/>
      </w:pPr>
      <w:r>
        <w:t>Regeste</w:t>
      </w:r>
    </w:p>
    <w:p>
      <w:r>
        <w:t>ORDONNANCE DE NON-ENTREE EN MATIERE;CONTRAINTE(DROIT PÉNAL);LÉSION CORPORELLE;PARTICIPATION À LA PROCÉDURE;DROIT D'ÊTRE ENTENDU;ADMINISTRATION DES PREUVES;GARANTIE DE PROCÉDURE;SOUPÇON | CPP.107; CPP.147; CPP.310; CP.122; CP.123; CP.181</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violation de son droit d'être entendue, soit en particulier des art. 107, 146 et 147 CPP et 29 al. 2 Cst.</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(art. 107 al. 1, 146 et 147 CPP; ATF 142 II 218 consid. 2.3 ; 140 I 285 consid. 6.3.1). Diverses mesures d'investigation peuvent être mises en oeuvre avant l'ouverture d'une instruction, telle que l'audition des lésés et suspects par la police sur délégation du ministère public (art. 206 al. 1 et 306 al. 2 let. b cum art. 309 al. 2 CPP ;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3.2</w:t>
      </w:r>
    </w:p>
    <w:p>
      <w:r>
        <w:t>En l'espèce, l'audition des mis en cause a été effectuée dans le cadre des investigations policières, sans qu'une instruction n'ait été ouverte. Dans ces circonstances, la procédure n'a pas dépassé le stade des premières investigations, ce qui permettait au Ministère public de rendre une ordonnance de non-entrée en matière et, partant, le dispensait d'interpeller ou d'entendre la recourante. Pour le surplus, la recourante a pu faire valoir devant la Chambre de céans les arguments qu'elle estimait pertinents, en particulier ses déterminations sur les auditions des prévenus et les pièces produites. Son droit d'être entendue a ainsi été pleinement respecté. Il s'ensuit que le grief doit être rejeté.</w:t>
      </w:r>
    </w:p>
    <w:p>
      <w:r>
        <w:rPr>
          <w:b/>
        </w:rPr>
        <w:t>E. 4</w:t>
      </w:r>
    </w:p>
    <w:p>
      <w:r>
        <w:t>La recourante reproche ensuite au Ministère public de ne pas être entré en matière sur sa plainte pénale.</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 arrêts du Tribunal fédéral 6B_766/2018 du 28 septembre 2018 consid. 3.1 ;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 arrêt du Tribunal fédéral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 (arrêt du Tribunal fédéral 6B_193/2018 du 3 juillet 2018 consid. 2.1).</w:t>
      </w:r>
    </w:p>
    <w:p>
      <w:r>
        <w:rPr>
          <w:b/>
        </w:rPr>
        <w:t>E. 4.2</w:t>
      </w:r>
    </w:p>
    <w:p>
      <w:r>
        <w:t>La qualification juridique des lésions subies par la recourante se définit en relation avec les art. 122 et 123 CP. Selon l'art. 122 CP, se rend coupable de lésions corporelles graves,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w:t>
      </w:r>
    </w:p>
    <w:p>
      <w:r>
        <w:rPr>
          <w:b/>
        </w:rPr>
        <w:t>E. 4.3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w:t>
      </w:r>
    </w:p>
    <w:p>
      <w:r>
        <w:rPr>
          <w:b/>
        </w:rPr>
        <w:t>E. 4.4</w:t>
      </w:r>
    </w:p>
    <w:p>
      <w:r>
        <w:t>En l'espèce, la recourante allègue que, vu le harcèlement psychologique dont elle était victime depuis des mois, notamment de la part des mis en cause, il existait, en cas de désobéissance aux ordres du doyen, une menace réelle et implicite de représailles, de dommages sérieux quant à son avenir et à sa réputation professionnelle. Le dossier ne recèle toutefois aucun indice concret et concluant venant étayer ses accusations et l'on ne voit pas quel éclairage nouveau et décisif pourrait être apporté par d'autres moyens de preuve. En particulier, la recourante ne démontre pas en quoi une confrontation ou l'audition de son époux - absent au moment des faits - serait de nature à permettre de récolter des éléments probants, d'autant qu'elle a eu l'occasion de faire valoir les arguments qu'elle estimait pertinents devant la Chambre de céans, sans les développer davantage par rapport à sa plainte. Dans ces conditions, les déclarations de la recourante ne permettent pas, à elles seules, d'établir que les mis en cause l'auraient concrètement contrainte à travailler le jour de l'accident, ou même qu'un refus de sa part aurait été susceptible d'avoir des conséquences négatives pour elle, alors qu'elle bénéficiait d'un contrat de durée déterminée et ne conteste pas que son employeur ait tenté, après les faits, de lui trouver un autre poste au sein de l'université, étant relevé que D______ prenait sa retraite le 15 juillet 2019. Par ailleurs, si les pièces produites par la recourante démontrent qu'elle a envoyé des courriers électroniques le 2 mars 2018, elles n'apportent toutefois aucun élément concret tendant à établir que ce travail aurait été accompli sous une éventuelle pression des mis en cause, étant relevé qu'une des tâches exécutées par la recourante avait été sollicitée par D______ le 1 er mars 2018, soit la veille de l'accident. Il s'ensuit que la prévention de contrainte n'est pas établie avec une vraisemblance suffisante pour justifier l'ouverture d'une instruction pénale. En conséquence, on ne voit pas comment les mis en cause pourraient se voir reprocher des lésions corporelles, qui plus est graves (art. 122 CP), même si le rapport médical du 6 août 2019 fait état d'une " aggravation de l'état [du] poignet " de la recourante pour avoir " sollicit[é] sa main droite pour travailler l'après-midi même de sa fracture ". C'est donc à juste titre que le Ministère public n'est pas entré en matière sur la plainte.</w:t>
      </w:r>
    </w:p>
    <w:p>
      <w:r>
        <w:rPr>
          <w:b/>
        </w:rPr>
        <w:t>E. 5</w:t>
      </w:r>
    </w:p>
    <w:p>
      <w:r>
        <w:t>La recourante se plaint enfin de l'inopportunité (art. 393 al. 2 let. c CPP) de l'ordonnance querellée. Compte tenu de l'absence de prévention pénale suffisante, c'est à bon droit que le Ministère public n'est pas entré en matière sur la plainte, de sorte que ce grief est infondé.</w:t>
      </w:r>
    </w:p>
    <w:p>
      <w:r>
        <w:rPr>
          <w:b/>
        </w:rPr>
        <w:t>E. 6</w:t>
      </w:r>
    </w:p>
    <w:p>
      <w:r>
        <w:t>Justifiée, l'ordonnance querellée sera donc confirmée.</w:t>
      </w:r>
    </w:p>
    <w:p>
      <w:r>
        <w:rPr>
          <w:b/>
        </w:rPr>
        <w:t>E. 7</w:t>
      </w:r>
    </w:p>
    <w:p>
      <w:r>
        <w:t>La recourante, qui succombe, supportera les frais envers l'État, fixés en totalité à CHF 1'000.-,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