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P/21222/2023 vom 15. Juli 2025</w:t>
      </w:r>
    </w:p>
    <w:p>
      <w:r>
        <w:t>GE Cour de justice, 2025-07-15, FR</w:t>
      </w:r>
    </w:p>
    <w:p>
      <w:r>
        <w:rPr>
          <w:b/>
        </w:rPr>
        <w:t xml:space="preserve">Quelle: </w:t>
      </w:r>
      <w:r>
        <w:t>https://mcp.opencaselaw.ch/entscheid/ge_gerichte_P_21222_2023</w:t>
      </w:r>
    </w:p>
    <w:p>
      <w:r>
        <w:t>FR: GE_GERICHTE P/21222/2023 du 15 juillet 2025</w:t>
      </w:r>
    </w:p>
    <w:p>
      <w:r>
        <w:t>IT: GE_GERICHTE P/21222/2023 del 15 luglio 2025</w:t>
      </w:r>
    </w:p>
    <w:p>
      <w:pPr>
        <w:pStyle w:val="Heading2"/>
      </w:pPr>
      <w:r>
        <w:t>Regeste</w:t>
      </w:r>
    </w:p>
    <w:p>
      <w:r>
        <w:t>JONCTION DE CAUSES | CPP.29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s'oppose à la jonction des procédures.</w:t>
      </w:r>
    </w:p>
    <w:p>
      <w:r>
        <w:rPr>
          <w:b/>
        </w:rPr>
        <w:t>E. 3.1</w:t>
      </w:r>
    </w:p>
    <w:p>
      <w:r>
        <w:t>L'art. 29 CPP règle le principe de l'unité de la procédure. Il prévoit qu'il y a lieu de poursuivre et juger, en une seule et même procédure, l'ensemble des infractions reprochées à un même prévenu. Le principe de l'unité de la procédure tend à éviter les jugements contradictoires et sert l'économie de la procédure (ATF 138 IV 29 consid. 3.2; ATF 138 IV 214 consid. 3.2; arrêt du Tribunal fédéral 1B_428/2018 du 7 novembre 2018 consid. 3.2). De façon générale, l'art. 49 CP impose la règle de l'unité des poursuites qui veut que les infractions commises en concours doivent être réprimées dans un seul et même jugement et qu'un seul juge doive se prononcer sur l'ensemble des faits qui peuvent être reprochés à un délinquant. Cette solution permet d'éviter la multitude de jugements rendus à l'encontre du même prévenu, le prononcé d'une peine complémentaire ou peine d'ensemble, ainsi que les frais liés à toute nouvelle procédure. En ce sens, les intérêts de l'auteur sont préservés. La solution choisie par le législateur tend aussi à éviter des jugements contradictoires, que cela soit au niveau de la constatation de l'état de fait, de l'appréciation juridique ou de la fixation de la peine (ATF 138 IV 214 consid. 3; L. MOREILLON / A. PAREIN-REYMOND, Code de procédure pénale , 2 ème éd., Bâle 2016, n. 3 ad art. 29).</w:t>
      </w:r>
    </w:p>
    <w:p>
      <w:r>
        <w:rPr>
          <w:b/>
        </w:rPr>
        <w:t>E. 3.2</w:t>
      </w:r>
    </w:p>
    <w:p>
      <w:r>
        <w:t>Selon l'art. 30 CPP, si des raisons objectives le justifient, le ministère public et les tribunaux peuvent ordonner la jonction ou la disjonction de procédures pénales. Cette disposition prévoit la possibilité de déroger au principe de l'unité de la procédure. Une telle dérogation exige toutefois des raisons objectives, ce qui exclut de se fonder, par exemple, sur de simples motifs de commodité (Y. JEANNERET / A. KUHN / C. PERRIER DEPEURSINGE (éds), Commentaire romand : Code de procédure pénale suisse , 2 ème éd., Bâle 2019, n. 2 ad art. 30). La disjonction des causes en vertu de l'art. 30 CPP doit cependant rester l'exception et l'unité de la procédure la règle, dans un but d'économie de procédure, d'une part, mais aussi afin de prévenir le prononcé de décisions contraires, d'autre part. Ainsi, le Tribunal fédéral a considéré qu'en vertu du principe de l'unité de la procédure, le ministère public était tenu de joindre des procédures à l'encontre du même prévenu quand bien même la nature des infractions était fort différente, en l'occurrence violences domestiques et escroquerie (ATF 138 IV 214 consid. 3.6 et 3.7). Des procédures pourront être disjointes, par exemple, lorsque plusieurs faits sont reprochés à un auteur et que seule une partie de ceux-ci est en état d'être jugée, la prescription s'approchant (ATF 138 IV 214 consid. 3.2). Elles pourront également l'être en présence de difficultés liées à un grand nombre de coauteurs dont certains seraient introuvables, lorsqu'une longue procédure d'extradition est mise en œuvre ou encore en cas de violation du principe de la célérité (arrêts du Tribunal fédéral 1B_230/2019 du 8 octobre 2019 consid. 3.4; 1B_428/2018 du 7 novembre 2018 consid. 3.2). Des raisons d'organisation des autorités de poursuite pénale ne suffisent pas (ATF 138 IV 214 consid. 3.2). La violation du principe de la célérité justifie également l'application de l'art. 30 CPP; l'art. 5 al. 2 CPP impose d'ailleurs une diligence particulière lorsqu'un prévenu est placé en détention (arrêt du Tribunal fédéral 1B_684/2011 du 21 décembre 2011 consid. 3.2 in fine ).</w:t>
      </w:r>
    </w:p>
    <w:p>
      <w:r>
        <w:rPr>
          <w:b/>
        </w:rPr>
        <w:t>E. 3.3</w:t>
      </w:r>
    </w:p>
    <w:p>
      <w:r>
        <w:t>En l'espèce, le recourant est prévenu dans les deux procédures concernées. Conformément au principe de l'unité de la procédure, les faits qui lui sont reprochés – et les infractions qui y sont associées – doivent donc en principe être poursuivis conjointement, quand bien même ils seraient de nature différente. En outre, la jonction querellée présente l'avantage d'éviter de devoir rendre deux décisions au fond à l'encontre du recourant. Aucune raison objective ne milite pour que les faits soient poursuivis séparément, ce d'autant plus que le recourant n'est plus détenu. L'avancement des deux causes apparaît par ailleurs à un stade équivalent, de sorte qu'on ne voit pas en quoi une jonction serait susceptible de retarder sensiblement leur traitement. Ainsi, même sous l'angle de la célérité, la jonction n'apparait pas critiquable. Pour le surplus, le recourant n'invoque aucun argument susceptible de remettre en cause le bien-fondé de l'ordonnance entreprise, se limitant à plaider le fond de la cause, respectivement à contester sa – précédente – détention. Au vu de ce qui précède, l'ordonnance querellée, conforme aux réquisits des art. 29 et 30 CPP, ne prête pas le flanc à la critique.</w:t>
      </w:r>
    </w:p>
    <w:p>
      <w:r>
        <w:rPr>
          <w:b/>
        </w:rPr>
        <w:t>E. 4</w:t>
      </w:r>
    </w:p>
    <w:p>
      <w:r>
        <w:t>Le recours sera rejeté.</w:t>
      </w:r>
    </w:p>
    <w:p>
      <w:r>
        <w:rPr>
          <w:b/>
        </w:rPr>
        <w:t>E. 5</w:t>
      </w:r>
    </w:p>
    <w:p>
      <w:r>
        <w:t>Le recourant, qui succombe, supportera les frais envers l'État, fixés en totalité à CHF 800.- (art. 428 al. 1 CPP et 13 al. 1 du Règlement fixant le tarif des frais en matière pénale, RTFMP ; E 4 10.03).</w:t>
      </w:r>
    </w:p>
    <w:p>
      <w:r>
        <w:rPr>
          <w:b/>
        </w:rPr>
        <w:t>E. 6</w:t>
      </w:r>
    </w:p>
    <w:p>
      <w:r>
        <w:t>Le recourant ayant agi seul pour la procédure de recours, il n'y a pas lieu à indemniser son défenseur.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