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P/21183/2014 vom 27. Mai 2016</w:t>
      </w:r>
    </w:p>
    <w:p>
      <w:r>
        <w:t>GE Cour de justice, 2016-05-27, FR</w:t>
      </w:r>
    </w:p>
    <w:p>
      <w:r>
        <w:rPr>
          <w:b/>
        </w:rPr>
        <w:t xml:space="preserve">Quelle: </w:t>
      </w:r>
      <w:r>
        <w:t>https://mcp.opencaselaw.ch/entscheid/ge_gerichte_P_21183_2014</w:t>
      </w:r>
    </w:p>
    <w:p>
      <w:r>
        <w:t>FR: GE_GERICHTE P/21183/2014 du 27 mai 2016</w:t>
      </w:r>
    </w:p>
    <w:p>
      <w:r>
        <w:t>IT: GE_GERICHTE P/21183/2014 del 27 maggio 2016</w:t>
      </w:r>
    </w:p>
    <w:p>
      <w:pPr>
        <w:pStyle w:val="Heading2"/>
      </w:pPr>
      <w:r>
        <w:t>Regeste</w:t>
      </w:r>
    </w:p>
    <w:p>
      <w:r>
        <w:t>COMMERCE DE STUPÉFIANTS ; COCAÏNE ; HÉROÏNE ; SURVEILLANCE TÉLÉPHONIQUE ; FIXATION DE LA PEINE ; AGGRAVATION DE LA PEINE | CPP.10 LSTUP.19.2 LSTUP.19.3 LETR.115.1.B</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2.2.1. Il appert que les premiers juges ont bien considéré, sans le dire expressément, que les 430 g. d'héroïne remis à H______ les 12 et 13 janvier 2015 avaient été prélevés du stock précédent, mais qu'ils ont par mégarde inclus les 110 g. de cocaïne dans leur calcul de la quantité totale d'héroïne trafiquée par l'appelant. En effet, la somme de toutes les quantités de drogue (cocaïne et héroïne) mentionnées dans l'acte d'accusation conduit au poids de 5'829,5 g. Or, c'est précisément en déduisant de ce chiffre - erroné car incluant la cocaïne - les trois transactions d'héroïne postérieures au 10 mai 2014, que l'on parvient au résultat de 4,4 kg. (5'829,5 – 900 – 100 – 430 = 4'399,5). Dans la logique de leur raisonnement, les premiers juges auraient donc du retenir que la quantité de drogue en cause était de 4'289,5 g (soit 5'719,5 – 900 – 100 – 430) d'héroïne), outre les 110 g. de cocaïne. Il est vrai que, comme le suggère le MP, il ne peut être exclu que la drogue objet de la dernière transaction provenait en fait d'une autre source, l'appelant ayant pu se réapprovisionner à l'insu de la police durant la période où il avait échappé à toute surveillance. Toutefois, le dossier ne recèle pas d'éléments en ce sens et les constatations de la police tendent plutôt à soutenir la version retenue par les premiers juges. Dans le doute, il convient d'en rester là. 2.2.2. Il s'avère en outre que le Tribunal correctionnel a commis une autre erreur, en ne déduisant pas, au moment de procéder à ses calculs, de la quantité totale de drogue en cause, les 200 g. de la livraison du 19 février 2014, ainsi qu'il avait pourtant indiqué qu'il fallait faire, au consid. 1.2.4. L'appelant n'a pas évoqué cette question, mais s'agissant d'une incohérence manifeste des premiers juges, la Cour ne saurait en faire abstraction. 2.2.3. En définitive, le trafic de l'appelant a donc porté sur une quantité de près de 4,1 kg d'héroïne et 110 g. de cocaïne. Dès lors qu'en toute hypothèse, l'aggravante de la quantité demeure réalisée, les rectifications qui précèdent n'emportent pas modification du dispositif du jugement en ce qui concerne le verdict de culpabilité, de sorte que, formellement, l'appel doit être rejeté sur ce point.</w:t>
      </w:r>
    </w:p>
    <w:p>
      <w:r>
        <w:rPr>
          <w:b/>
        </w:rPr>
        <w:t>E. 3</w:t>
      </w:r>
    </w:p>
    <w:p>
      <w:r>
        <w:t>3.1. Aux termes de l'art. 19 al. 3 let. b LStup, dans sa version en vigueur depuis le 1 er juillet 2011, le tribunal peut atténuer librement la peine dans le cas d'une infraction visée à l'art. 19 al. 2 LStup, si l'auteur est dépendant et que cette infraction aurait dû servir au financement de sa propre consommation. Pour bénéficier de cette disposition, l'auteur doit être toxicodépendant et non seulement consommateur, comme c'est souvent le cas pour les trafiquants de cocaïne (Initiative parlementaire, révision partielle de la loi sur les stupéfiants, rapport de la Commission de la sécurité sociale et de la santé publique du Conseil national, FF 2006 p. 8141 ss, p. 8179 ch. 3.1.11.3 ad art. 19 al. 4 projet LStup ; arrêt du Tribunal fédéral 6B_858/2014 du 19 mai 2015 consid. 2.2). La Commission précitée renvoie, pour distinguer consommateurs et personnes dépendantes, aux critères développés dans la classification statistique internationale des maladies et des problèmes de santé connexes établie par l'OMS (CIM-10). Selon le chapitre F 14 du CIM-10, qui traite des "troubles mentaux et du comportement liés à l'utilisation de la cocaïne", le symptôme de dépendance est décrit comme un ensemble de phénomènes comportementaux, cognitifs et physiologiques survenant à la suite d'une consommation répétée d'une substance psychoactive, typiquement associés à un désir puissant de prendre de la drogue, à une difficulté de contrôler la consommation, à une poursuite de la consommation malgré des conséquences nocives, à un désinvestissement progressif des autres activités et obligations au profit de la consommation de cette drogue, à une tolérance accrue, et, parfois, à un syndrome de sevrage physique toxicomanie (arrêt ibidem ). L'art. 19 al. 3 let. b LStup n'est en outre applicable que si le trafic de drogue de l'auteur finance exclusivement sa propre toxicomanie (FF 2006 et arrêt ibidem ).</w:t>
      </w:r>
    </w:p>
    <w:p>
      <w:r>
        <w:rPr>
          <w:b/>
        </w:rPr>
        <w:t>E. 3.2</w:t>
      </w:r>
    </w:p>
    <w:p>
      <w:r>
        <w:t>Les conditions d'application de cette circonstance atténuante ne sont pas réalisées. D'une part, s'il peut être tenu pour établi que l'appelant était consommateur de cocaïne, cela ne signifie pas encore qu'il était toxicodépendant. Sa description de la consommation quotidienne a varié et l'usage de la drogue parait surtout avoir été évoqué pour expliquer des prétendues défaillances de mémoire. Le certificat produit n'indique pas que l'opinion de l'appelant, selon laquelle ses symptômes étaient liés au sevrage, est correcte d'un point de vue médical, étant rappelé qu'il est hautement fréquent que des détenus se plaignent de stress et de troubles du sommeil, surtout au début de l'incarcération. Comme le fait observer le MP, il est en revanche beaucoup plus douteux qu'un sevrage puisse être achevé en trois mois seulement. En tout état, l'appelant avoue lui-même que le bénéfice tiré du trafic ne servait pas uniquement à financer sa consommation puisqu'il l'affectait également au jeu, sans préjudice que vu sa position intermédiaire dans le trafic ( cf. infra consid. 4.2.) ledit bénéfice était nécessairement plus important que celui strictement nécessaire à la couverture de ses besoins en matière cocaïne. L'appel est partant rejeté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CC______ération de l'auteur de l'infraction avec les autorités policières ou judiciaires notamment si cette CC______ération a permis d'élucider des faits qui, à ce défaut, seraient restés obscurs (ATF 121 IV 202 consid. 2d/aa p. 204 ; 118 IV 342 consid. 2d p. 349).</w:t>
      </w:r>
    </w:p>
    <w:p>
      <w:r>
        <w:rPr>
          <w:b/>
        </w:rPr>
        <w:t>E. 4.2</w:t>
      </w:r>
    </w:p>
    <w:p>
      <w:r>
        <w:t>Quoiqu'en dise l'appelant, sa faute est grave. Il s'est livré, durant une période qui doit être qualifiée de longue, puisqu'elle s'est étendue sur près de deux ans, à un trafic qui a porté sur une quantité de presque 4,1 kg. d'héroïne et 110 g. de cocaïne, soit une quantité élevée, quel que fût le degré de pureté. Les écoutes téléphoniques et observations révèlent une activité très soutenue ; les occurrences identifiées sont nombreuses, puisqu'on en dénombre 13, toutes drogues confondues, ce qui dénote une intention délictueuse forte, réitérée à chacune de ces occasions et maintenue au fil du temps. L'activité criminelle n'a d'ailleurs pris fin qu'en raison de l'arrestation de l'intéressé. Comme retenu par les premiers juges, le trafic était local, mais avec une composante internationale, l'appelant étant en contact avec son frère, qui agissait vraisemblablement depuis la Belgique, vu son numéro belge et les indications données sur son lieu de résidence, et ayant, le 13 avril 2014, reçu une livraison d'une quantité importante provenant des Pays-Bas. Les premiers juges ont également à juste titre admis que l'intéressé jouissait d'une certaine indépendance, gérant le stock de drogue, trouvant les clients, eux-mêmes vendeurs de drogue et non simples consommateurs, écoulant la marchandise et récupérant le prix de la transaction pour le remettre aux émissaires du fournisseur. Il intervenait donc en qualité de grossiste. L'appelant s'est en outre diversifié, versant aussi dans le trafic de cocaïne. Il y a enfin concours avec l'infraction à la LEtr, qui est de gravité moindre mais trahit aussi un manque de respect pour les règles de l'ordre juridique suisse. La circonstance atténuante de l'art. 19 al. 3 LStup a été écartée ; sans doute l'appelant a-t-il affecté une partie de ses gains à la satisfaction de son penchant pour la consommation de cocaïne, mais il était aussi au moins en partie mû par l'appât du gain, soit un mobile d'autant plus égoïste que le bien juridique en cause est celui de la santé des consommateurs. L'appelant a d'ailleurs dit avoir dépensé une partie de ses gains au jeu, sans avoir évoqué, ni démontré, avoir souffert d'une addiction sur ce plan, ce qui rend sa motivation également futile. Sa collaboration a été assez mauvaise, à tout le moins jusqu'à l'audience d'appel, étant cependant souligné qu'il n'a jamais contesté être l'individu qui s'exprimait sur les écoutes et a initialement fait quelques concessions, ce qui a facilité l'instruction de la cause. Les aveux n'étant survenus qu'au stade de l'appel, il est difficile de croire à la sincérité des regrets qui les accompagnent, d'autant plus au vu de la récidive spécifique et rapide. Il affirme avoir eu un emploi, nonobstant son absence de statut légal en Suisse, de sorte qu'il n'était pas démuni. Il ne prétend pas être tombé dans la délinquance pour nourrir la fille avec laquelle il n'a pas de contacts et la perspective de la naissance d'un second enfant aurait dû l'inciter à un comportement responsable. Seuls la consommation de drogue et le jeu, indépendamment de la question de l'addiction, peuvent être tenus pour avoir été au moins un facteur de la vie personnelle susceptible d'avoir joué un rôle, sans l'expliquer, dans le choix d'une activité criminelle mais rémunératrice. Comme le soutient le MP, le – certes unique – mais sérieux et récent antécédent de l'appelant plaide en faveur du prononcé d'une peine sévère. Rien ne permet de penser que l'appelant aurait été victime d'une erreur judiciaire. D'ailleurs, on aurait peine à comprendre qu'il choisisse de verser dans le trafic de stupéfiants peu après avoir purgé à tort une peine privative de liberté d'un an et demi pour une infraction de cette nature, dès lors qu'il était particulièrement bien placé pour savoir ce qu'il risquait. Il faut ainsi retenir qu'il est ancré dans ce type de criminalité. La peine de cinq ans et demi fixée par les premiers juges tient bien compte de l'ensemble de ces paramètres. Il s'agit d'une peine relativement lourde et adaptée à la gravité de la faute, répondant à l'impératif premier de prévention spéciale, sans pour autant donner un signal extérieur d'excessive permissivité. La Cour ayant procédé à un réexamen complet des critères de fixation de la peine, et vu l'appel joint du MP, il n'est pas nécessaire de réduire la peine pour tenir compte de la diminution de 300 g. s'agissant de la quantité totale d'héroïne en cause, pour un même nombre de transactions. Au demeurant, cette différence de 300 g. ne saurait avoir un poids significatif, vu l'importance du dépassement du seuil entraînant l'application de l'aggravante de la quantité. En conclusion, bien qu'en retenant une quantité légèrement inférieure, la CPAR parvient au même résultat que les premiers juges de sorte que tant l'appel du condamné que celui du MP sont rejetés.</w:t>
      </w:r>
    </w:p>
    <w:p>
      <w:r>
        <w:rPr>
          <w:b/>
        </w:rPr>
        <w:t>E. 5</w:t>
      </w:r>
    </w:p>
    <w:p>
      <w:r>
        <w:t>L'appelant a marginalement obtenu gain de cause sur la question de principe de la quantité de drogue trafiquée mais succombe pour le surplus intégralement et ce dans une mesure plus importante que le MP, qui contestait uniquement la peine. Le premier supportera partant les deux tiers des frais de la procédure d'appel, comprenant un émolument d'arrêt de CHF 1'800.-, le solde en étant laissé à la charge de l'Etat.</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Aussi bien la jurisprudence du Tribunal fédéral que l'art. 16. al. 2 RAJ prescrivent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6.3</w:t>
      </w:r>
    </w:p>
    <w:p>
      <w:r>
        <w:t>En l'occurrence, sous la seule réserve du taux de l'indemnisation forfaitaire de l'activité diverse, qui doit être ramené à 10%, l'activité totale consacrée au dossier dépassant désormais les 30 heures, l'état de frais produit par le défenseur d'office de l'appelant est adéquat. Il sera partant indemnisé par CHF 2'396,60 correspondant à 9 heures et 30 minutes d'activité au tarif de CHF 200/heure plus le forfait vacation de CHF 50.-, les frais d'interprète (CHF 80.-), la majoration forfaitaire de 10% et l'équivalent de la TVA au taux de 8% en CHF 171,60.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