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P/21173/2016 vom 11. November 2024</w:t>
      </w:r>
    </w:p>
    <w:p>
      <w:r>
        <w:t>GE Cour de justice, 2024-11-11, FR</w:t>
      </w:r>
    </w:p>
    <w:p>
      <w:r>
        <w:rPr>
          <w:b/>
        </w:rPr>
        <w:t xml:space="preserve">Quelle: </w:t>
      </w:r>
      <w:r>
        <w:t>https://mcp.opencaselaw.ch/entscheid/ge_gerichte_P_21173_2016</w:t>
      </w:r>
    </w:p>
    <w:p>
      <w:r>
        <w:t>FR: GE_GERICHTE P/21173/2016 du 11 novembre 2024</w:t>
      </w:r>
    </w:p>
    <w:p>
      <w:r>
        <w:t>IT: GE_GERICHTE P/21173/2016 del 11 novembre 2024</w:t>
      </w:r>
    </w:p>
    <w:p>
      <w:pPr>
        <w:pStyle w:val="Heading2"/>
      </w:pPr>
      <w:r>
        <w:t>Regeste</w:t>
      </w:r>
    </w:p>
    <w:p>
      <w:r>
        <w:t>LÉSION CORPORELLE PAR NÉGLIGENCE;PRINCIPE DE L'ACCUSATION;MISE EN ACCUSATION;IN DUBIO PRO REO | CP.125.al1; CPP.329.al2; CPP.333.al1; CPP.350.al1</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de la Convention européenne des droits de l'homme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Lorsqu'une disposition pénale énumère des situations distinctes, le comportement exact reproché au prévenu doit être précisé dans l'acte d'accusation. En effet, il n'appartient pas au prévenu d'imaginer quels comportements pourraient lui être reprochés et de développer une défense pour chaque hypothèse (arrêt du Tribunal fédéral 6B_670/2020 du 14 décembre 2020 consid. 1.4). Lorsque l'infraction est commise par omission, l'acte d'accusation doit notamment préciser les actes que l'auteur aurait dû accomplir (ATF 120 IV 348 consid. 3c ; 116 Ia 455 consid. 3cc ; arrêts du Tribunal fédéral 6B_364/2020 du 26 juin 2020 consid. 6.4 et 6B_670/2020 du 14 décembre 2020 consid. 1.4). S'agissant d'infractions commises par négligence, l'acte d'accusation doit notamment indiquer l'ensemble des circonstances faisant apparaître en quoi l'auteur a manqué de diligence dans son comportement, ainsi que le caractère prévisible et évitable de l'acte (ATF 120 IV 348 consid. 3c ; 116 Ia 455 consid. 3cc ; arrêts du Tribunal fédéral 6B_1452/2019 du 25 septembre 2020 consid. 1.2 et 6B_670/2020 du 14 décembre 2020 consid. 1.4).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2.2.1. À certaines conditions, les art. 329 al. 2 et 333 al. 1 CPP dérogent à la maxime d'accusation en permettant au tribunal saisi de donner au ministère public la possibilité de modifier ou de compléter l'acte d'accusation (arrêt du Tribunal fédéral 6B_177/2019 du 18 mars 2019 consid. 3.1). En application de la première de ces dispositions, le tribunal peut renvoyer l'accusation au ministère public afin qu'il la complète ou la corrige, mais ce uniquement s'il apparaît " qu'un jugement au fond ne peut pas encore être rendu ", notamment si " l'absence d'un moyen de preuve indispensable empêche de juger la cause au fond " (ATF 141 IV 39 consid. 1.6 ; arrêt du Tribunal fédéral 1B_302/2011 du 26 juillet 2011 consid. 2.2.2). Pour sa part,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(cf. pour des exemples FF 2006 1263 et 1264 ; arrêt du Tribunal fédéral 6B_777/2011 du 10 avril 2012 consid. 2). Toutefois, l'art. 333 al. 1 CPP n'est pas applicable si l'accusation doit être modifiée dans le cadre de l'infraction poursuivie (ATF 149 IV 42 consid. 3 = JdT 2023 IV 388). Enfin, il n'est pas possible d'opérer une combinaison des possibilités offertes par les art. 329 et 333 CPP dans le cas où une situation impliquerait la seule modification de l'accusation au sens de l'art. 333 al. 1 CPP et ainsi permettre à la fois la modification de l'acte au sens de cette disposition et l'administration de preuves complémentaires par le ministère public, seulement envisageable dans le cadre d'un renvoi fondé sur l'art. 329 CPP. Si le renvoi de l'acte d'accusation au ministère public en application de cette disposition lui permet d'administrer des preuves complémentaires, il ne lui permet en effet pas de modifier l'acte d'accusation. Inversement, une modification de l'acte d'accusation prévue par l'art. 333 CPP peut déboucher sur une qualification juridique nouvelle mais sans possibilité pour le ministère public de reprendre la maîtrise de la procédure et d'administrer de nouvelles preuves (M. SIMEONI, La modification de l'acte d'accusation au sens de l'art. 331 al. 1 CPP, in RPS 138/2020 187, p. 195 ; N. RUCKSTUHL, Art. 329 Abs. 2 und 333 Abs. 1 stopp : Kombination von (verbindlicher Rückweisung des Anklage und Einladung zur (fakultativen) Änderung ?, in forumpeonale 1/2019 65, p. 69). 2.2.2. Ces deux dispositions sont applicables en appel, mais dans les limites de l'interdiction de la reformation in pejus, l'extension de l'accusation en appel n'étant possible qu'en rapport avec l'objet de la procédure, tel que circonscrit en première instance à l'exclusion de faits (art. 329 al. 2 CPP) ou de chefs d'accusation (art. 333 al. 2 CPP) supplémentaires (ATF 147 IV 167 consid. 1.3 = JdT 2022 IV 19).</w:t>
      </w:r>
    </w:p>
    <w:p>
      <w:r>
        <w:rPr>
          <w:b/>
        </w:rPr>
        <w:t>E. 2.3</w:t>
      </w:r>
    </w:p>
    <w:p>
      <w:r>
        <w:t>Lorsque le ministère public estime que seule une partie des faits présente une prévention suffisante d'infraction et rend une ordonnance pénale pour ces derniers, cela implique, pour les autres faits, pour lesquels les charges sont insuffisantes, que l'ordonnance pénale vaut alors classement partiel implicite. Dès lors que le classement doit faire l'objet d'un prononcé séparé, écrit et motivé, il ne saurait être glissé et mélangé au contenu d'une ordonnance pénale. La voie de l'opposition est ouverte à la partie plaignante contre l'ordonnance pénale lorsqu'elle dispose d'un intérêt juridique à faire prévaloir une qualification juridique plutôt qu'une autre par rapport à un état de fait non contesté. Le classement, implicite ou explicite, doit être entrepris par la voie du recours et celle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(ATF 138 IV 241 consid. 2.4 à 2.6 ; ACPR/243/2013 du 31 mai 2013). 2.4.1. En l'occurrence, les ordonnances pénales, valant acte d'accusation, du 26 avril 2018, reprochaient déjà aux prévenus de ne pas avoir instruit, voire formé, suffisamment l'assistante-lasériste, mais ce défaut d'instruction ou de formation était exclusivement déduit du fait que ladite assistante aurait omis de " coller " la tête du laser à la peau de la partie plaignante, ce qui aurait été contraire aux règles de l'art selon le témoin G______. Il n'était pas question d'une durée ou d'un enseignement insuffisant de la formation. Pour le surplus, s'il est exact, comme plaidé par la partie plaignante, que les premières ordonnances pénales mentionnaient, au chapitre des faits, que les appelants n'avaient pas été présents au début de la séance, elles ne décrivaient pas que cela relevait d'un défaut d'encadrement, et, a fortiori, en quoi, de sorte que la CPAR avait déjà jugé, dans son précédent arrêt, que ce supposé manquement ne pouvait être opposé aux prévenus, car il ne faisait pas partie du cadre des débats tel que circonscrit par lesdites ordonnances pénales. Par ailleurs, celles-ci ne faisaient pas non plus grief aux prévenus d'avoir failli à leur devoir d'information, le simple rappel d'une déclaration de la partie plaignante sur l'absence de mise en garde contre l'exposition indirecte au soleil ne pouvant être tenue pour suffisante, contrairement à ce que soutient la partie plaignante, ce que la CPAR avait également relevé dans son précédent arrêt. Certes, elle avait à cet égard estimé que le MP eût dû instruire cette question et qu'il convenait partant qu'il le fît, ce qui aurait pu, le cas échéant, permettre un complément de l'accusation, au sens de l'art. 329 al. 2 CPP. Toutefois, l'arrêt de la CPAR est antérieur à la jurisprudence du Tribunal fédéral sus-évoquée qui est venu exclure un tel complément au stade de l'appel, stade qui avait été atteint une première fois en 2019. Le fait que suite au renvoi de la cause par la juridiction d'appel, un complément d'instruction a eu lieu, lequel a conduit au prononcé de nouvelles ordonnances pénales et, dans le prolongement de l'opposition formée par les prévenus, à de nouveaux débats de première instance, n'y change rien, sans préjudice de ce que le complément d'instruction n'a nullement porté sur la question de l'information donnée à la partie plaignante. 2.4.2. La question peut également être abordée sous l'angle du classement partiel : en n'intégrant pas, dans ses premières ordonnances pénales, les deux griefs en cause ci-dessus, le MP en a implicitement ordonné le classement, ce que la partie plaignante aurait pu, et dû, entreprendre, par la voie d'un recours. 2.4.3. Ainsi, le TP aurait-il dû admettre la question préjudicielle déjà soulevée devant lui par la défense et refuser d'examiner les faits tenant à un supposé défaut d'information de la patiente et, en ce qui concerne l'encadrement de l'assistante-lasériste, se contenter d'identifier si elle avait été suffisamment instruite et formée au maniement du laser, à l'exclusion de la question de sa supervision en début de séance. Il est donc retenu que les faits susceptibles d'être reprochés aux appelants se limitent à cette dernière question.</w:t>
      </w:r>
    </w:p>
    <w:p>
      <w:r>
        <w:rPr>
          <w:b/>
        </w:rPr>
        <w:t>E. 3</w:t>
      </w:r>
    </w:p>
    <w:p>
      <w:r>
        <w:t>3.1. 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Les lésions corporelles par négligence constituent une infraction de résultat, qui suppose en général une action, mais qui, conformément à l'art. 11 al. 1 CP, peut aussi être réalisée par le fait d'un comportement passif contraire à une obligation d'agir.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L'attention et la diligence requises sont d'autant plus élevées que le degré de spécialisation de l'auteur est important (ATF 138 IV 124 consid. 4.4.5). Lorsque des prescriptions légales ou administratives imposent un comportement déterminé pour assurer la sécurité et prévenir les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143 IV 138 consid. 2.1 ; 133 IV 158 consid. 5.1).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(arrêts du Tribunal fédéral 6B_1098/2017 du 5 avril 2018 consid. 4.2 ;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4.2.3 et 4.4.2).</w:t>
      </w:r>
    </w:p>
    <w:p>
      <w:r>
        <w:rPr>
          <w:b/>
        </w:rPr>
        <w:t>E. 3.3</w:t>
      </w:r>
    </w:p>
    <w:p>
      <w:r>
        <w:t>Pour parvenir à la conclusion que les appelants avaient insuffisamment instruit et formé leur assistante, le TP a retenu que la formation dont celle-ci avait disposé n'avait duré que trois mois, que ladite formation n'était achevée que depuis moins de trois mois avant les faits, et que durant une partie de cette seconde période, soit durant deux mois, l'auxiliaire avait été aidée par une autre praticienne. Outre que l'on voit mal en quoi cette assistance supplémentaire dont elle a bénéficié durant deux mois serait un indice d'une formation insuffisante, rien dans le dossier, notamment pas l'expertise, ne permet de retenir que ladite formation aurait dû être plus longue ou plus dense. Certes, une période de trois mois, ou cinq si on tient compte de la période d'accompagnement, peut être considérée abstraitement comme brève, mais le critère pertinent est celui de l'adéquation de la période d'apprentissage à la difficulté de la matière à intégrer. Or, rien ne démontre qu'une assistante-lasériste devrait se former plus longuement pour acquérir les compétences nécessaires, et les explications données par l'intéressée sur son apprentissage n'ont suscité aucune remarque ou critique, étant relevé que les experts n'ont rien relevé d'inadéquat à cet égard et qu'aucun spécialiste du domaine n'a été entendu, ni aucune documentation utile recueillie. On sait uniquement que l'enseignement dispensé à F______ semble correspondre à ce qui est exigé par le fabriquant de l'appareil laser, vu la délivrance du certificat, ce qui est un indice favorable. En vérité, on comprend que le TP a, doublement, procédé par induction à rebours, considérant que si la partie plaignante avait été blessée au cours du traitement, cela signifiait nécessairement que l'assistante-lasériste avait commis une erreur, et que si elle avait commis une erreur, cela était parce qu'elle avait été insuffisamment formée. Ce faisant, le TP a commencé par se départir, sans explications, des conclusions des experts, selon lesquels aucune erreur dans " l'utilisation/application " du laser ne pouvait être identifiée, et ont taxé de théoriques les hypothèses envisagées (mauvais paramétrage de l'appareil ; application multiple de la tête sur la même zone ; exposition de la partie plaignante au soleil ou absorption par elle de substances à effet photo-sensibilisant pouvant même se trouver dans une tisane). Il est vrai que rien ne permet de retenir que l'intimée se serait exposée au soleil entre les deux séances ou aurait pris des médicaments ayant des effets photo-sensibiliants alors qu'elle a constamment affirmé le contraire. De même, la thèse de la tisane semble hypothétique, n'ayant été évoquée que lors de l'audition des experts, non dans leur rapport. Restent les deux autres causes possibles, lesquelles n'ont rien de théorique. Elles n'ont simplement pas pu être vérifiées, ce qui arrive parfois. Il s'agit là d'une incertitude avec laquelle l'administration de la justice, notamment, doit composer. Ainsi, il semble que les lésions subies par l'appelante sont bien dues au maniement de l'appareil. Cependant, que cela tînt au paramétrage – qui n'aurait alors pas été identique à celui appliqué lors de la précédente séance, contrairement à ce que les appelants, mais l'assistante aussi, ont indiqué – ou au maniement de l'appareil, par exemple des " tirs superposés ", encore faudrait-il disposer d'éléments concrets pour affirmer que cela serait dû à une formation défaillante de la praticienne, non à une erreur de sa part, étant rappelé que l'erreur est humaine. Il peut à cet égard être relevé que selon la partie plaignante elle-même, F______ ne paraissait pas être à son affaire puisqu'elle avait omis, dans un premier temps, d'enfiler ses lunettes de protection. Or, on peut supposer que cela était dû à une inattention, non un manque de formation, s'agissant d'une mesure dont n'importe qui est censé avoir intégré la nécessité après plus de cinq mois d'apprentissage. Aussi, le raisonnement du TP ne saurait être suivi et force est de constater que l'instruction n'a pas permis de mettre en lumière des éléments à charge susceptibles de lui être substitués. En particulier, l'expertise n'a pas confirmé – cela n'a pas même été évoqué – que les lésions seraient dues au fait que la tête du laser n'avait pas été " collée " à la peau de la patiente, alors que ce serait ainsi qu'il faudrait procéder selon le témoin G______ et les premières ordonnances pénales, manquement qui eût pu être mis à charge d'une mauvaise formation puisque l'appelant avait indiqué qu'il ne fallait pas, selon lui, que la tête adhérât à la peau de sorte que l'on peut présumer que cela est ce qu'il a enseigné à son auxiliaire. De fait, comme déjà dit, on ignore quelle serait l'erreur commise, et le jugement entrepris, ne l'indique d'ailleurs pas, d'où le raisonnement par induction à rebours, pas davantage que les ordonnances pénales ou la partie plaignante d'ailleurs. En conclusion, s'il est incontestable que la partie plaignante a subi des lésions lors de sa seconde séance d'épilation au laser dans le cabinet des prévenus, il demeure que la cause en est inconnue et qu'il est, partant, impossible d'établir, au-delà du doute raisonnable, qu'elle a été favorisée par une formation insuffisante de l'auxiliaire des appelants. Par surabondance de motifs on ajoutera que même s'il fallait, contrairement à ce qui a été jugé supra (consid. 2.2) élargir le cadre des débats à la question de l'absence d'au moins l'un des appelants en début de séance, on ne pourrait toujours pas admettre, faute de connaître la cause précise des lésions, qu'ils auraient pu intervenir et l'empêcher. En effet, ils auraient sans doute pu rectifier un paramétrage erroné, non éviter qu'après le début de la séance, l'assistante ne commette une erreur de manipulation, étant rappelé qu'on ignore à quel moment la partie plaignante a été brûlée. Autrement dit, il est impossible de juger de la responsabilité des appelants sans avoir identifié l'origine des lésions, ce qui n'a pas pu être fait. Le seul constat de leur survenance ne suffit, dans le cas d'espèce, pas. Par ailleurs, comme retenu précédemment, la question d'une absence de consentement faute d'information complète ne peut être examinée, celle-ci n'ayant été évoquée dans les premières ordonnances pénales. L'appel doit donc être admis et les appelants libérés de la fin de la poursuite.</w:t>
      </w:r>
    </w:p>
    <w:p>
      <w:r>
        <w:rPr>
          <w:b/>
        </w:rPr>
        <w:t>E. 4</w:t>
      </w:r>
    </w:p>
    <w:p>
      <w:r>
        <w:t>Vu l'issue de la cause, l'entier des frais de la procédure doit être laissé à la charge de l'État (art. 426 al. 1 a contrario et 428 CPP), étant précisé que les hypothèses de l'art. 427 al. 2 CPP ne sont pas réalisées et que, vu certains atermoiements de la cause, il ne se justifie pas de mettre une partie des frais d'appel à la charge de la partie plaignante. De même, l'on peut certes regretter que l'attitude des prévenus face à la vivacité de la douleur ressentie par la partie plaignante puis ses doléances lors de l'apparition des lésions eut été pour le moins inadéquate et peu empathique, voire arrogante, ce qui a certainement contribué à sa décision de déposer plainte pénale, il demeure qu'il ne peut être considéré qu'ils ont violé une norme de comportement écrite ou non écrite, au sens d'une application analogie de l'article 49 du code des obligations (CO) permettant de retenir qu'ils ont provoqué de manière illicite ou fautive l'ouverture de la procédure, comme envisagé par l'art. 426 al. 2 CPP.</w:t>
      </w:r>
    </w:p>
    <w:p>
      <w:r>
        <w:rPr>
          <w:b/>
        </w:rPr>
        <w:t>E. 5</w:t>
      </w:r>
    </w:p>
    <w:p>
      <w:r>
        <w:t>Dite issue comporte également le rejet des conclusions civiles de la partie plaignante.</w:t>
      </w:r>
    </w:p>
    <w:p>
      <w:r>
        <w:rPr>
          <w:b/>
        </w:rPr>
        <w:t>E. 6</w:t>
      </w:r>
    </w:p>
    <w:p>
      <w:r>
        <w:t>6.1. La décision sur le sort des frais de la procédure préjugeant de celle sur les indemnités de procédure au sens des art. 429, 433 et 436 CPP (ATF 147 IV consid. 4.1 et 137 IV 352 consid. 2.4.2), les conclusions en indemnisation de l'intimée doivent également être rejetées, pour l'entier de la procédure, alors qu'il convient d'examiner celles des appelants. 6.2.1. Selon l'art. 429 al. 1 CPP, le prévenu au bénéfice d'une ordonnance de classement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Zurich 2009, n. 6 ad art. 429). Elle est exigible aussi en cas de classement partiel (Message, op. cit. , p. 1313 ; N. SCHMID, op. cit. , n. 4 ad art. 429). Encore faut-il que l'assistance d'un avocat ait été nécessaire, compte tenu de la complexité de l'affaire en fait ou en droit, et que le volume de travail de l'avocat était ainsi justifié (Message, i. ). Une partie de la doctrine prône qu'aussitôt qu'une procédure touchant à un crime ou à un délit n'est pas classée suite à l'audition du prévenu, celui-ci a droit à l'assistance d'un avocat (M. NIGGLI / M. HEER / H. WIPRÄCHTIGER, op.cit n. 14 ad art. 429). Les honoraires d'avocat se calculent selon le tarif local, à condition qu'ils restent proportionnés (N. SCHMID, op. cit., n. 7 ad art. 429). L'avocat mandaté par un client domicilié à l'étranger ne peut pas facturer de montant au titre de la TVA ( ACPR/402/2012 du 27 septembre 2012 consid. 3.).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l'État répare la totalité du dommage en relation avec la procédure pénale (Message, p. 1313).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6.2.2. 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(arrêts du Tribunal fédéral 6B_548/2018 du 18 juillet 2018 consid. 1.1.2 ; 6B_385/2017 du 5 décembre 2017 consid. 2.1).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6.2.3. Les appelants sont libérés de la fin de la poursuite et il a été retenu ci-dessus que son ouverture ne leur était pas imputable à faute, nonobstant leur attitude blâmable, vu les critères restrictifs des art. 426 al. 2 et 430 al. 1 let. a CPP. Par ailleurs, la cause était suffisamment complexe pour justifier le recours à un défenseur privé, à quoi s'ajoute le principe de l'égalité des armes, la partie plaignante étant elle-même défendue par un avocat. Le principe de la couverture de leurs dépenses nécessaires est partant acquis. Reste à en déterminer la quotité. Il sied de relever tout d'abord que les prévenus ont fait le choix de consulter le même défenseur, ce qui est de nature à réduire les frais, et que celui-ci pratique un tarif modéré. Le dossier était relativement complexe, faisant appel à des notions qui, sans être inhabituelles, ne relèvent pas de la pratique quotidienne, et la tâche de l'avocat n'a pas été simplifiée par les vicissitudes découlant de la façon dont l'instruction a été menée. Cela peut expliquer, en partie, l'ampleur de l'activité facturée. Pour autant, il reste que celle-ci est excessive, étant observé qu'une fois examinées et maîtrisées, les questions de fait et de droit posées étaient peu nombreuses et le dossier d'ampleur au plus moyenne. À tout le moins convient-il d'exclure de la couverture un total de 70 heures et 39 minutes, soit : -          les 5 heures d'opérations qui ne sont qu'indirectement liées à la procédure pénale ; -          les 11 heures et 42 minutes consacrées au recours devant la CPR, celle-ci ayant statué sur les frais de la procédure devant elle en les mettant à la charge des prévenus ce qui exclut leur indemnisation au titre de l'art. 429 CPP ; -          5 heures et 24 minutes (sur 7 heures et 24 minutes) liées à l'établissement des requêtes en indemnisation dans la mesure où cette activité tenait essentiellement à du travail de secrétariat ou comptable, couvert par les frais généraux (collecte des notes d'honoraires et addition de leurs montants) et a été répétitif, de sorte que seules 2 heures au total peuvent être tenues pour du travail nécessaire d'avocat, ce qui est déjà très bienveillant ; -          les 5 heures consacrées à la rédaction de la seconde déclaration d'appel motivée. En effet, si la rédaction de la première n'a pas été suivie d'une audience, la CPAR ayant rendu son précédent arrêt sans débats, le travail déployé pour la seconde doit être pris en considération au titre de la préparation des débats (cf. infra), avec lequel il se confond, sauf à rémunérer des doublons, ce qui ne saurait être tenu pour nécessaire ; -          2 heures comptabilisées préventivement pour les débats d'appel, dont la durée a été surestimée ; -          41 heures et 33 minutes sur les 69 heures et 33 minutes facturées pour des recherches juridiques et la préparation des trois audiences de jugement ou d'appel. Ce temps est en effet considérablement excessif eu égard à la difficulté présentée par le dossier. En particulier, les recherches juridiques, tous sujets confondus, ne sauraient avoir nécessité plus d'une dizaine d'heures, les mêmes questions de fond ou de procédure se répétant, et l'avocat étant censé maîtriser au moins une partie d'entre elles. Il convient ainsi de retenir, selon une approche peu restrictive, 10 heures pour les recherches juridiques, 8 heures pour la préparation de la première audience de jugement, 5 heures pour la seconde et encore 5 heures pour celle d'appel (= 28 heures au total). Le montant des honoraires d'avocat correspondant à une activité nécessaire sera ainsi arrêté à CHF 39'000.- (= 130 heures [arrondi à la hausse] x CHF 300.-) + CHF 1'560.- (4% de débours et frais) + CHF 2'571.80 (TVA au taux de 7,7% pour les 111 heures et 20 minutes d'activité déployée avant 2024 [estimation]) + 453.60 (TVA au taux de 8,1% pour les 18 heures et 40 minutes d'activité déployée en 2024 [estimation]), soit CHF 43'585.40.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