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P/21131/2019 vom 25. Januar 2024</w:t>
      </w:r>
    </w:p>
    <w:p>
      <w:r>
        <w:t>GE Cour de justice, 2024-01-25, FR</w:t>
      </w:r>
    </w:p>
    <w:p>
      <w:r>
        <w:rPr>
          <w:b/>
        </w:rPr>
        <w:t xml:space="preserve">Quelle: </w:t>
      </w:r>
      <w:r>
        <w:t>https://mcp.opencaselaw.ch/entscheid/ge_gerichte_P_21131_2019</w:t>
      </w:r>
    </w:p>
    <w:p>
      <w:r>
        <w:t>FR: GE_GERICHTE P/21131/2019 du 25 janvier 2024</w:t>
      </w:r>
    </w:p>
    <w:p>
      <w:r>
        <w:t>IT: GE_GERICHTE P/21131/2019 del 25 gennaio 2024</w:t>
      </w:r>
    </w:p>
    <w:p>
      <w:pPr>
        <w:pStyle w:val="Heading2"/>
      </w:pPr>
      <w:r>
        <w:t>Regeste</w:t>
      </w:r>
    </w:p>
    <w:p>
      <w:r>
        <w:t>CONTRAINTE(DROIT PÉNAL);COMPENSATION DE CRÉANCES | CP.181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Selon l'art. 158 ch. 1 al. 1 CP, se rend coupable de gestion déloyale simple quiconque, intentionnellement, est tenu de gérer les intérêts pécuniaires d'autrui ou de veiller sur leur gestion et qui, en violation de ses devoirs, porte atteinte à ces intérêts ou permet qu'ils soient lésés. Selon l'art. 158 ch. 1 al. 2 CP, il en va de même du gérant d'affaires qui agit sans mandat. Les éléments constitutifs objectifs de cette infraction sont au nombre de deux : il faut que l'auteur ait, en position de gérant, violé une obligation lui incombant en cette qualité (1) et qu'il en ait résulté un préjudice (2) (ATF 121 IV 104 consid. 2a ; 120 IV 190 consid. 2b ; arrêts du Tribunal fédéral 6B_1030/2018 du 20 novembre 2018 consid. 1.1 ; 6B_382/2017 du 2 février 2018 consid. 3.1). L'infraction réprimée par l'art. 158 ch. 1 CP ne peut ainsi être commise que par une personne qui revêt la qualité de gérant, soit par une personne qui gère un patrimoine d'une certaine complexité et qui dispose d'une indépendance de gestion suffisante, une position de gérant de fait étant suffisante (ATF 142 IV 346 consid. 3.2 ; 129 IV 124 consid. 3.1 ; 123 IV 17 consid. 3b ; 120 IV 190 consid. 2b ; 118 IV 244 consid 2a ; arrêt du Tribunal fédéral 6B_612/2022 du 7 juin 2023 consid. 3.1).</w:t>
      </w:r>
    </w:p>
    <w:p>
      <w:r>
        <w:rPr>
          <w:b/>
        </w:rPr>
        <w:t>E. 2.2</w:t>
      </w:r>
    </w:p>
    <w:p>
      <w:r>
        <w:t>En l'occurrence, il appert que l'intimé n'a jamais administré l'immeuble de la rue 1______ no. ______, la gestion de ce bien ayant été confiée exclusivement à l'appelant comme cela ressort notamment expressément de l'arrêt du Tribunal fédéral 5A_936/2020 (considérant 3.4.2, page 13 en haut) et des déclarations de l'appelant en appel, lequel n'est contredit par aucun élément au dossier. Une telle délégation de la gestion d'un immeuble en copropriété est en principe possible, vu l'art. 647 al. 1 du Code civil qui prévoit que des copropriétaires peuvent convenir d'un règlement d'utilisation et d'administration dérogeant aux dispositions légales. Faute d'avoir effectivement administré l'immeuble de la rue 1______ no. ______, l'intimé n'en a jamais eu la qualité de gérant. Il ne suffit en particulier pas qu'il ait procédé de manière tout à fait accessoire à des actes de gestion mineurs en lien avec le contrat de bail de D______, actes dont la validité sur le plan du droit civil apparaît de surcroît douteuse sans que cela n'influe sur le sort de la cause. Partant, l'un des éléments constitutifs objectifs de l'infraction de gestion déloyale simple n'est pas rempli, comme l'a retenu à juste titre le TP. L'appel sera donc rejeté et le jugement de première instance confirmé en ce qu'il acquitte l'intimé du chef de gestion déloyale au sens de l'art. 158 ch. 1 CP.</w:t>
      </w:r>
    </w:p>
    <w:p>
      <w:r>
        <w:rPr>
          <w:b/>
        </w:rPr>
        <w:t>E. 3</w:t>
      </w:r>
    </w:p>
    <w:p>
      <w:r>
        <w:t>3.1.1.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d'une part, d'un comportement de contrainte illicite (1) et, d'autre part, d'une influence concrète sur le comportement du lésé causée par ce comportement (2) (dans le même sens : C. FAVRE, Commentaire romand CP II, 2017, n. 8ss ad art. 181). Sur le plan subjectif, il faut que l'auteur ait agi avec conscience et volonté, soit qu'il ait au moins accepté l'éventualité que le comportement illicite auquel il a eu recours entrave la personne visée dans sa liberté de décision (ATF 120 IV 17 consid. 2c ; arrêts du Tribunal fédéral 6B_543/2022 du 15 février 2023 consid. 7.1 ; 6B_367/2020 du 17 janvier 2022 consid. 13.3.1). Le comportement de contrainte peut être constitué par l'usage de la violence, d'une menace sérieuse ou de tout autre méthode ; dans ce dernier cas, il faut néanmoins que le moyen utilisé soit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6B_543/2022 du 15 février 2023 consid. 7.1). Un comportement de contrainte donc encore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3.1.2. L'utilisation d'un acte juridique en soi licite peut, suivant les circonstances, constituer un comportement de contrainte. Il a ainsi été retenu que le dépôt d'une plainte pénale constitue une méthode illicite si rien ne permet sérieusement de soupçonner la commission d'une infraction par la personne visée, lorsque l'objet de la plainte pénale est sans rapport avec la prestation demandée ou encore si la menace vise à obtenir un avantage indu (ATF 120 IV 17 consid. 2a/bb ; arrêt du Tribunal fédéral 6B_1236/2021 du 4 novembre 2022 consid. 3.2). De même, le recours à un commandement de payer sur la base d'une créance que l'auteur sait ne pas exister constitue un comportement de contrainte (arrêts du Tribunal fédéral 6B_1116/2021 du 22 juin 2022 consid. 2.1 ; 6B_8/2017 du 15 août 2017 consid. 2.2 ; 6B_378/2016 du 15 décembre 2016 consid. 2.1). Le fondement et le montant de la créance invoquée comme base d'un commandement de payer, ainsi que le contexte de sa notification sont autant d'éléments pertinents pour apprécier s'il existe une contrainte ; il suffit que la situation juridique ne soit pas claire pour admettre la licéité d'un commandement de payer sous l'angle de l'infraction de contrainte, ( ACPR/823/2023 du 23 octobre 2023 consid. 3.3 ; ACPR/543/2023 du 18 juillet 2023 consid. 4.3 ; ACPR/249/2023 du 6 avril 2023 consid. 2.2). La compensation au sens des art. 120 et suivants du Code des obligations (CO) est un mode d'extinction d'une obligation qui trouve en principe application entre deux prestations exigibles de même nature, en particulier des créances en argent (art. 120 al. 1 CO). Contrairement à une plainte pénale ou à un commandement de payer, il s'agit d'un acte juridique qui n'a pas pour effet d'actionner la force publique à l'encontre de la personne visée. Celui qui fait face à une compensation qu'il juge invalide ou infondée se trouve ainsi dans la même situation que tout créancier putatif voyant son droit subjectif être contesté, en tout ou en partie, par son débiteur allégué. Dans la mesure où une compensation infondée peut mettre certains débiteurs en difficulté, le législateur a prévu que celle-ci ne pouvait être imposée au créancier des prestations listées à l'art. 125 CO. Tel est notamment le cas lorsqu'une créance est absolument nécessaire à l'entretien du créancier et sa famille, le principe sous-tendant cette disposition étant la nécessité de protéger la partie économiquement faible (ATF 147 IV 55 consid. 2.4). Il faut conclure de ce qui précède que la réalisation d'un comportement de contrainte par le truchement d'une compensation ne doit être admis tout au plus qu'exceptionnellement lorsque celle-ci ne concerne pas une créance visée par l'art. 125 CO ou par une norme comparable comme les art. 265 ou 323b al. 2 CO. En dehors de ce cadre, il n'existe en effet pas de raison de protéger par le biais du droit pénal un créancier qui fait face à un refus de payer basé sur une compensation infondée, alors que tel ne serait pas le cas s'il faisait face à un refus similaire pour un autre motif, comme un défaut allégué ou une prétendue exception de prescription. 3.2.1. En l'espèce, l'intimé a eu des doutes sur la bonne gestion par l'appelant de leur immeuble sis rue 1______ no. ______ et a requis en vain de ce dernier des informations complémentaires aux décomptes sommaires obtenus de F______ SA pour les années 2010 à 2013. L'appelant affirme certes que l'intimé a toujours reçu les décomptes de la fiduciaire, mais cette allégation ne convainc pas dans la mesure où il est établi que ce dernier a procédé à plusieurs relances par le biais de son avocat et rien n'indique qu'elles auraient permis d'obtenir les informations demandées, alors même qu'il aurait été aisé à l'appelant de démontrer qu'il avait accompli son obligation de rendre compte. Cela vaut d'autant plus qu'il était, en tant que gérant de l'immeuble, directement débiteur de cette obligation et qu'il ne pouvait ainsi se contenter de renvoyer l'intimé à la fiduciaire. En appel, il a d'ailleurs plaidé que ce dernier voulait le contraindre illicitement à lui fournir ces documents au moyen de sa compensation, ce qui confirme implicitement la version de l'intimé selon laquelle lesdits documents ne lui avaient pas été fournis. Il est également établi que l'intimé a perçu sur un compte dont il était le seul titulaire le loyer dû par D______ sur la période du 1 er février 2018 au 15 juillet 2021 et que l'appelant en a été informé par un courrier d'avocat du 14 février 2018, adressé à son propre conseil par courrier et courriel. Il est aussi constant que cet écrit mentionnait clairement que l'intimé était ouvert à la discussion avec l'appelant pour faire toute la lumière sur leurs prétentions respectives. 3.2.2. Au vu de ce qui précède, on ne saurait retenir que la compensation d'un montant mensuel de CHF 1'557.50 par l'intimé constituait un comportement de contrainte illicite. Le TP a, à juste titre, souligné que la privation d'un loyer constituant environ 5% de l'état locatif 2013 ([12 x 1'557.50] / 354'176.15), dont l'appelant affirme qu'il est conforme à la réalité, n'était, à l'évidence, pas de nature à menacer son minimum vital au sens de l'art. 125 ch. 2 CO. Comme l'a plaidé de manière convaincante la défense, il serait insensé de sanctionner l'intimé pour avoir eu recours de bonne foi à un acte formateur prévu par le CO parce qu'il soupçonnait subir un dommage du fait de la gestion de l'appelant à l'aune des informations éparses dont il disposait, d'autant que celui-ci refusait de lui remettre les comptes de l'immeuble dont ils étaient copropriétaires en violation manifeste de son devoir de renseigner au sens de l'art. 400 CO, obligation ayant précisément pour but de permettre un contrôle par la personne remettant la gestion de ses affaires à autrui (cf. ATF 146 III 435 consid. 4.1.3.1 ; 143 III 348 consid. 5.1.2). On peine de plus à comprendre le reproche fait par l'appelant à l'intimé de ne pas l'avoir actionné ou mis en poursuite, alors que c'était bien plutôt à lui de saisir les instances judiciaires civiles s'il estimait souffrir d'une compensation indue. Il s'ensuit que l'un des éléments constitutifs de l'infraction de contrainte n'est pas rempli. Partant, l'appel sera rejeté et le jugement de première instance confirmé en ce qu'il acquitte l'intimé du chef de contrainte au sens de l'art. 181 CP.</w:t>
      </w:r>
    </w:p>
    <w:p>
      <w:r>
        <w:rPr>
          <w:b/>
        </w:rPr>
        <w:t>E. 4.1</w:t>
      </w:r>
    </w:p>
    <w:p>
      <w:r>
        <w:t>Selon l'art. 126 al. 1 let. b CPP, le tribunal statue sur les conclusions civiles d'une partie plaignante lorsqu'il acquitte le prévenu et que l'état de fait est suffisamment établi. Si tel n'est pas le cas, il doit en revanche renvoyer la partie plaignante à agir par la voie civile selon l'art. 126 al. 2 let. d CPP.</w:t>
      </w:r>
    </w:p>
    <w:p>
      <w:r>
        <w:rPr>
          <w:b/>
        </w:rPr>
        <w:t>E. 4.2</w:t>
      </w:r>
    </w:p>
    <w:p>
      <w:r>
        <w:t>En l'occurrence, l'intimé est acquitté de l'ensemble des charges portées à son encontre. Cependant, les faits concernant la validité de sa compensation sur la période du 1 er février 2018 au 15 juillet 2021 ne sont pas suffisamment établis pour que la Chambre de céans puisse rejeter les prétentions de l'appelant avec force de chose jugée. Cela vaut d'autant plus que la question de savoir si une prétention fondée sur les règles de l'enrichissement illégitime peut être tranchée par le juge pénal n'a pas encore été clairement tranchée par la jurisprudence (cf. ATF 148 III 401 consid. 3.2.1 ; 148 IV 432 consid. 3.2.3 et 3.3). Il convient donc de renvoyer l'appelant à agir par la voie civile, et non de le débouter de ses prétentions. L'appel doit être admis sur ce point.</w:t>
      </w:r>
    </w:p>
    <w:p>
      <w:r>
        <w:rPr>
          <w:b/>
        </w:rPr>
        <w:t>E. 5</w:t>
      </w:r>
    </w:p>
    <w:p>
      <w:r>
        <w:t>5.1.1.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5.2.1. À juste titre, le TP a laissé les frais de la procédure préliminaire et de première instance à charge de l'État, les conditions pour les faire supporter à l'appelant sur la base de l'art. 427 al. 1 et 2 CPP n'étant manifestement pas remplies. En effet, les infractions concernées étaient poursuivies d'office et ses conclusions civiles n'ont pas engendré de surplus de frais notable. Sur ce point, le jugement de première instance sera ainsi confirmé. 5.2.2. En appel, le MP s'en est remis à justice et l'appelant succombe sur la quasi-totalité de ses conclusions. En conséquence, il convient de lui faire supporter l'ensemble des frais de cette procédure, lesquels s'élèvent à CHF 2'085.-, y compris un émolument de jugement de CHF 1'800.-.</w:t>
      </w:r>
    </w:p>
    <w:p>
      <w:r>
        <w:rPr>
          <w:b/>
        </w:rPr>
        <w:t>E. 6.1</w:t>
      </w:r>
    </w:p>
    <w:p>
      <w:r>
        <w:t>La question de l'indemnisation doit être tranchée après celle des frais. Dans cette mesure, la question sur les frais préjuge en principe de celle de l'indemnisation (ATF 147 IV 47 consid. 4.1 ; 145 IV 94 consid. 2.3.2 ; 144 IV 207 consid. 1.8.2).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Selon la jurisprudence, la partie plaignante qui fait appel seule contre un acquittement doit, le cas échéant, être condamnée sur cette base au paiement d'une indemnité au prévenu, même si les infractions concernées étaient poursuivies d'office (ATF 147 IV 47 consid. 4.2.6 ; 141 IV 476 consid. 1.2). Seuls les frais de défense nécessaires, et donc les honoraires justifiés, doivent être indemnisés ; pour déterminer si l'assistance d'un avocat était nécessaire, il faut tenir compte de la complexité de l'affaire en fait ou en droit et du volume de travail (ATF 142 IV 45 consid. 2.1 ; arrêts du Tribunal fédéral 6B_380/2021 du 21 juin 2022 consid. 2.2.1 ; 6B_706/2021 du 20 décembre 2021 consid. 2.1.1 ; 6B_2/2021 du 25 juin 2021 consid. 1.1.2). La totalité des frais de défense doit en principe être indemnisée, ceux-ci devant toutefois demeurer raisonnables compte tenu de la complexité et de la difficulté de l'affaire (ATF 142 IV 163 consid. 3.1.2 ; arrêts du Tribunal fédéral 6B_380/2021 du 21 juin 2022 consid. 2.2.2 ; 6B_706/2021 du 20 décembre 2021 consid. 2.1.1). L'indemnité doit correspondre au tarif usuel du barreau applicable dans le canton où la procédure se déroule ; le débiteur de l'indemnité n'est pas lié par une convention d'honoraires passée entre le prévenu et son avocat (ATF 142 IV 163 consid. 3.1.2 ; arrêt du Tribunal fédéral 6B_380/2021 du 21 juin 2022 consid. 2.2.2). La Cour de justice applique ainsi un tarif horaire maximal de CHF 450.- pour les chefs d'étude ( AARP/230/2023 du 26 juin 2023 consid. 5.1 ; AARP/79/2023 du 15 mars 2023 consid. 4.1 ; AARP/357/2022 du 16 novembre 2022 consid. 6.1). Ce montant s'entend hors TVA ; ainsi, lorsqu'un avocat facture à son mandant des prestations aux tarifs maximaux susmentionnés hors TVA, celle-ci doit être ajoutée en sus, pour autant que lesdites prestations y soient effectivement assujetties ( AARP/383/2023 du 4 octobre 2023 consid. 8.1).</w:t>
      </w:r>
    </w:p>
    <w:p>
      <w:r>
        <w:rPr>
          <w:b/>
        </w:rPr>
        <w:t>E. 6.2</w:t>
      </w:r>
    </w:p>
    <w:p>
      <w:r>
        <w:t>L'appelant a fait appel contre un jugement d'acquittement sans le soutien du MP. Il lui revient donc d'assumer seul les frais de défense de l'intimé dans la procédure d'appel. Celui-ci a conclu à la condamnation du premier à lui payer CHF 5'115.75 au titre de ses dépenses obligatoires pour la procédure d'appel. Ce montant se compose de 30 minutes de communications diverses et de 420 minutes de préparation de l'audience d'appel, qui a duré 155 minutes, le tout au tarif de CHF 500.- hors TVA. Les postes de l'état de frais apparaissant tous raisonnablement nécessaires à sa défense, le total de 605 minutes (10.08 heures) doit être retenu. Cette durée sera toutefois indemnisée au tarif horaire maximal de CHF 484.65 (TVA incluse), et non à CHF 500.- de l'heure comme demandé par l'intimé. L'indemnité qui lui est due par l'appelant s'élève donc à CHF 4'885.30 (484.65 x 10.08). Elle ne porte pas intérêt (cf. ATF 143 IV 495 consid. 2.2.4).</w:t>
      </w:r>
    </w:p>
    <w:p>
      <w:r>
        <w:rPr>
          <w:b/>
        </w:rPr>
        <w:t>E. 6.3</w:t>
      </w:r>
    </w:p>
    <w:p>
      <w:r>
        <w:t>Les conclusions en indemnisation de l'appelant, qui succombe, seront quant à elle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