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P/21128/2014 vom 13. Mai 2016</w:t>
      </w:r>
    </w:p>
    <w:p>
      <w:r>
        <w:t>GE Cour de justice, 2016-05-13, FR</w:t>
      </w:r>
    </w:p>
    <w:p>
      <w:r>
        <w:rPr>
          <w:b/>
        </w:rPr>
        <w:t xml:space="preserve">Quelle: </w:t>
      </w:r>
      <w:r>
        <w:t>https://mcp.opencaselaw.ch/entscheid/ge_gerichte_P_21128_2014</w:t>
      </w:r>
    </w:p>
    <w:p>
      <w:r>
        <w:t>FR: GE_GERICHTE P/21128/2014 du 13 mai 2016</w:t>
      </w:r>
    </w:p>
    <w:p>
      <w:r>
        <w:t>IT: GE_GERICHTE P/21128/2014 del 13 maggio 2016</w:t>
      </w:r>
    </w:p>
    <w:p>
      <w:pPr>
        <w:pStyle w:val="Heading2"/>
      </w:pPr>
      <w:r>
        <w:t>Regeste</w:t>
      </w:r>
    </w:p>
    <w:p>
      <w:r>
        <w:t>CONTRAINTE SEXUELLE; INFRACTIONS CONTRE L'INTÉGRITÉ SEXUELLE; CONFRONTATION À UN ACTE D'ORDRE SEXUEL; IN DUBIO PRO REO; PRÉSOMPTION D'INNOCENCE; FRAIS JUDICIAIRES; DÉPENS | CP.189.1; CP.198.2; CEDH.6.2; CPP.429.1.a; CPP.430; CPP.432; CPP.428; CPP.138.1; CPP.135</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(ATF 120 Ia 31 consid. 2 p. 33 ss ;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w:t>
      </w:r>
    </w:p>
    <w:p>
      <w:r>
        <w:rPr>
          <w:b/>
        </w:rPr>
        <w:t>E. 3.1</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L'auteur fait usage de violence lorsqu'il emploie volontairement la force physique sur la victime afin de la faire céder. En introduisant la notion de "pressions psychiques", le législateur a aussi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111 ; 122 IV 97 consid. 2b p. 100). En cas de pressions d'ordre psychique, il n'est pas nécessaire que la victime ait été mise hors d'état de résister (ATF 124 IV 154 consid. 3b p. 158). Une situation d'infériorité physique ou cognitive ou de dépendance sociale et émotionnelle peut suffire (arrêts du Tribunal fédéral 6B_1150/2014 du 19 novembre 2015 consid. 2.4 et 6B_71/2015 du 19 novembre 2015 consid. 2.1.2).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106 consid. 3b/aa p. 111 ; arrêts du Tribunal fédéral 6B_71/2015 du 19 novembre 2015 consid. 2.1.2 et 6B_287/2011 du 3 novembre 2011 consid. 3.1.1).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w:t>
      </w:r>
    </w:p>
    <w:p>
      <w:r>
        <w:rPr>
          <w:b/>
        </w:rPr>
        <w:t>E. 3.2</w:t>
      </w:r>
    </w:p>
    <w:p>
      <w:r>
        <w:t>Se rend coupable de désagréments causés par la confrontation à un acte d'ordre sexuel (art. 198 CP) notamment celui qui importune une personne par des attouchements d'ordre sexuel ou par des paroles grossières (al. 2). Constituent des attouchements des contacts physiques qui ne sont pas fortuits et qui paraissent, du point de vue d'un observateur objectif, présenter un caractère sexuel, l'auteur devant agir sans le consentement de la victime ; tel est le cas notamment lorsqu'il touche les fesses d'une femme (arrêt du Tribunal fédéral 6B_303/2008 du 22 janvier 2009 consid. 3). L'auteur touche, même par-dessus ses vêtements, les organes sexuels de la victime (seins, fesses) ou d'autres parties de son corps qui se trouvent à proximité, comme le ventre ou les cuisses (arrêt du Tribunal fédéral 6S_336/2003 du 21 novembre 2003, consid. 6.1). Le fait de serrer une femme contre son corps de manière à ce que cette dernière sente constitutif de l'infraction (M. DUPUIS / B. GELLER / G. MONNIER / L. MOREILLON le sexe de l'auteur en érection est / C. PIGUET / C. BETTEX / D. STOLL (éds), Code pénal - Petit commentaire , Bâle 2012, n. 10 ad art. 198). Il faut tenir compte de la mesure dans laquelle la victime peut se soustraire au comportement de l'auteur. (…) (arrêt du Tribunal fédéral 6S_336/2003 du 21 novembre 2003 consid. 6.1). La victime ne doit en aucune façon avoir consenti à l'attouchement (…) ni ne doit l'avoir provoqué (…) (arrêt du Tribunal fédéral 6S_336/2003 du 21 novembre 2003 consid. 6.1). L'auteur doit avoir agi sans le consentement de la victime (A. DONATSCH, Strafrecht III : Delikte gegen den Einzelnen , 9 e éd., Zurich/Bâle/ Genève 2008, p. 521).</w:t>
      </w:r>
    </w:p>
    <w:p>
      <w:r>
        <w:rPr>
          <w:b/>
        </w:rPr>
        <w:t>E. 3.3</w:t>
      </w:r>
    </w:p>
    <w:p>
      <w:r>
        <w:t>Il ne fait guère de doute que les actes dont s'est fait l'auteur l'intimé constituent des actes d'ordre sexuel, même si ceux-ci devaient être circonscrits à ceux qu'il reconnaît. Le passage de ses mains sur le ventre nu ou sur le thorax de la jeune fille, même sans qu'il ne soulève ses vêtements, avait une connotation sexuelle, à l'instar de son geste consistant à prendre la main de la jeune fille pour lui faire sentir son sexe en érection. L'excitation que l'intimé avoue avoir ressentie démontre à tout le moins le caractère non anodin de ces gestes. Mais encore faut-il que l'intimé ait brisé la résistance de la victime. Il convient tout d'abord de noter que la jeune fille n'a pas été prise par surprise, comme elle a voulu le faire croire. Non seulement des messages avaient-ils été échangés qui laissaient présager un déplacement de l'intimé mais encore celui-ci avait-il confirmé sa présence par les photos adressées une fois sur place, peu importe qu'il s'agisse des emplacements "F______" ou des "G______" dans la mesure où tous deux désignent des lieux à proximité immédiate du domicile de la victime . Celle-ci n'a manifesté aucune réticence à ce que l'intimé la suive dans le parking, même sous le prétexte discutable qu'elle serait ainsi plus en sécurité. L'intimé a demandé à la jeune fille si ses premiers gestes la dérangeaient. Sa réponse a été négative, ce qui n'était pas de nature à les faire cesser. Si elle avait été paniquée ou si elle avait eu peur comme allégué, elle aurait eu une autre réaction, tels la fuite ou des cris censés alerter les tiers. Elle a pu être gênée ou surprise des gestes entreprenants qu'elle subissait, mais encore aurait-il fallu qu'elle manifeste son opposition. Même si l'aspect "pédagogique" des actes était particulièrement inadéquat et déplacé, voire même révoltant, on ne saurait reprocher à l'intimé d'avoir poursuivi sa démonstration, sinon sur un plan moral. Même à suivre la relation des faits par la victime, assurément plus graves que ce que l'intimé a admis, l'intimé n'a pas passé outre un refus qu'elle aurait exprimé. Ainsi en est-il de la proposition de l'emmener chez lui ou de faire un tour en voiture où l'intimé a respecté l'avis de la jeune fille qui a décliné son invitation. Il en est de même de la main posée sur le sexe en érection où il n'a pas usé de violence pour contrecarrer le geste de retrait exécuté par la victime. La tentative de lui toucher les fesses a subi le même sort, dans le sens où l'intimé n'a pas empêché la jeune fille de remonter son bas de training et de s'éloigner, profitant au surplus de l'arrivée opportune d'une voiture dans le garage souterrain. Au vu de ce qui précède, et cette conclusion ne préjuge en rien de l'inadéquation de sa démarche, l'intimé n'a à aucun moment brisé la résistance de la jeune fille. Quand il a cherché à aller plus loin et qu'il s'est heurté à un refus, il en a pris acte. La jeune fille n'a pas dit autre chose, que ce soit à la police ou devant les premiers juges. Ce qui précède ne signifie pas formellement que la jeune fille a bien vécu les épisodes décrits, ce qui justifie les observations des membres de sa famille et des HUG, à l'instar de sa perte de poids. Ses difficultés vécues comme adolescente en crise, même si elles préexistaient antérieurement, ont pu être exacerbées par ce qu'elle a subi, surtout si elle ne le désirait pas en son for antérieur. Le problème est que cet échange à caractère sexuel s'est inscrit dans une relation largement teintée de sous-entendus. Il n'est pas innocent à cet égard qu'elle ait exprimé à son ami M______ sa crainte de se voir accusée d'avoir été provocante, sans qu'il ne soit utile de trancher la question de savoir si elle avait proposé à l'intimé d'être son "sexfriend". Dans le même ordre d'idées, l'effacement de l'ensemble des messages échangés avec l'intimé ne manque pas d'être troublant, comme si tout avait été entrepris pour laisser le moins de traces possibles de la relation ambiguë nouée entre eux. Il y a donc lieu de retenir que la victime n'a pas fourni à son interlocuteur les marques d'une opposition franche et déterminée, ce dont elle était consciente si l'on en croit la teneur du SMS adressé le surlendemain à l'intimé ("on aurait jamais du commencer a ce parler ou aller aussi loin en parlant j'ai pas reflechie et voila!!!!") . La prise en compte de pressions psychologiques, susceptibles de suppléer à l'absence de contrainte, ne saurait être admise en l'espèce. Certes, l'intimé était doté d'une image paternelle positive. Mais la jeune fille ne le connaissait que depuis peu, a fortiori dans un contexte concernant plutôt les intérêts de son frère. On est loin d'un rapport quasi filial pouvant exister au sein d'une famille élargie, avec un beau-père, un oncle ou un cousin, voire avec son enseignant ou son entraîneur, cas dans lesquels la victime a pu tisser avec son abuseur des liens forts basés sur la confiance et l'amitié. La même conclusion s'impose pour une éventuelle violation de l'art. 198 CP, outre un acte d'accusation muet sur les caractéristiques de l'effet produit sur la victime des désagréments auxquels elle a été confrontée. En tout état, les actes visés par cette disposition pénale nécessitent une absence de consentement de la victime, même si la contrainte n'est pas exigible. Mutatis mutandis, il y a lieu de se référer au raisonnement précité pour se convaincre que l'art. 198 CP, même à titre supplétif, n'est pas applicable faute de réalisation de ses éléments constitutifs. Il s'ensuit que l'acquittement de l'intimé sera confirmé au bénéfice des explications qui précèdent.</w:t>
      </w:r>
    </w:p>
    <w:p>
      <w:r>
        <w:rPr>
          <w:b/>
        </w:rPr>
        <w:t>E. 3.4</w:t>
      </w:r>
    </w:p>
    <w:p>
      <w:r>
        <w:t>La partie plaignante sera en conséquence déboutée des prétentions en indemnisation auxquelles elle a conclu au titre de la réparation du tort moral de sa fille.</w:t>
      </w:r>
    </w:p>
    <w:p>
      <w:r>
        <w:rPr>
          <w:b/>
        </w:rPr>
        <w:t>E. 4</w:t>
      </w:r>
    </w:p>
    <w:p>
      <w:r>
        <w:t>4.1.1 Selon l'art. 429 al. 1 let. a CPP, le prévenu bénéficiant d'une ordonnance de classement a droit à une indemnité pour les dépenses occasionnées par l'exercice raisonnable de ses droits de procédure s'agissant des dépenses pour un avocat de choix (ATF 138 IV 205 consid. 1 p. 206).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de la loi fédérale du 30 mars 1911, complétant le Code civil suisse [CO, Code des obligations - RS 220])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(arrêts du Tribunal fédéral 1P.301/2002 du 22 juillet 2002 consid. 2.3, et 6B_1034/2015 du 31 mars 2016 consid. 3.1.1). La réduction ou le refus de l'indemnisation ne doit pas laisser entendre que le prévenu acquitté est tout de même coupable des infractions qui lui ont été reprochées (arrêt de la Chambre pénale des recours, Vaud, n° 2012/422 du 25 juillet 2012). Selon l'art. 430 al. 1 CPP, l'indemnité ou la réparation du tort moral peut être refusée en tout ou partie au prévenu qui a provoqué illicitement et fautivement l'ouverture de la procédure ou a rendu plus difficile la conduite de celle-ci (let. a). D'une façon générale,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 b 155 consid. 2b p. 158 ; A. VON TUHR / H. PETER, Allgemeiner Teil des Schweizerischen Obligationenrechts I , Zurich 1979,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2010 consid. 2.2).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l'État, le prévenu a droit à une indemnité (ATF 137 IV 352 consid. 2.4.2 p. 355 ; ACPR/394/2012 du 26 septembre 2012). Les honoraires d'avocat se calculent selon le tarif local, à condition qu'ils restent proportionnés (N. SCHMID, Schweizerische Strafprozessordnung : Praxiskommentar ,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 Bâle 2011, n. 19 ad art. 429). 4.1.2 En laissant les frais de la procédure à la charge de l'Etat, le premier juge aurait dû entrer en matière sur une prise en charge, fût-elle partielle, des frais de défense du prévenu qui y avait droit à la suite de son acquittement. Il convient en conséquence d'admettre le principe d'un tel versement qui fait partie des conclusions de l'appelant joint, étant précisé que le décompte des frais et honoraires produit par son conseil est adéquat au regard de la complexité relative de la cause. L'acceptation du principe d'un droit à une prise en charge de ses frais et honoraires doit être tempérée en l'espèce au regard du comportement hautement blâmable de l'intimé. Il y a là une faute concomitante majeure de sa part, dans la mesure où il n'avait pas à venir prodiguer une "leçon" de choses pour venir en aide à une jeune fille ou la confronter à la réalité. Dans cette mesure, il se justifie de réduire la note d'honoraires dans une proportion de deux tiers environ, tant le comportement fautif de l'appelant joint est patent. Aussi, le montant des honoraires sera-t-il alloué pour la procédure de première instance à hauteur de CHF 3'000.- en chiffre rond, sans TVA eu égard au statut de collaborateur du Conseil et sans intérêts qui n'ont pas été revendiqués dans les conclusions en indemnisation. 4.2.1 D'après l'art. 432 al. 1 CPP, le prévenu qui obtient gain de cause peut demander à la plaignante une juste indemnité pour les dépenses occasionnées par les conclusions civiles. Lorsque l'infraction est punissable sur plainte, la partie plaignante peut dans les hypothèses visées par cette disposition légale être tenue d'indemniser le prévenu pour les dépenses occasionnées par l'exercice raisonnable de ses droits de procédure (art. 432 al. 2 CPP). Lorsque l'appel a été formé par la seule partie plaignante, la situation est assimilable à celles prévues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Il ne pourrait en être différemment que dans l'hypothèse d'une procédure qui n'est pas complète, notamment dans le cas d'un recours contre une décision de classement qui a pour caractéristique de ne pas faire déférer la cause devant un tribunal de première instance au sens de l'art. 13 CPP (arrêt du Tribunal fédéral 6B_810/2014 du 18 août 2015 consid. 1.2). 4.2.2 Dans le cas d'espèce, le Ministère public s'est plié à la décision des juges de première instance. L'Etat, auquel incombe la responsabilité de l'action pénale, a ainsi décidé de ne pas poursuivre la procédure en instance de recours. Le désengagement de l'Etat a pour effet que la cause en serait restée à l'acquittement prononcé en première instance si la partie plaignante n'avait pas formé appel contre le jugement. La contrainte sexuelle est un délit qui se poursuit d'office, de sorte que la formule potestative de l'art. 432 al. 2 CPP n'a pas cours. Il s'ensuit que les frais de défense du prévenu pour l'activité de son conseil déployée en appel doivent être mis à la charge de la partie appelante. Le montant dû, qui parait adéquat au regard des enjeux du dossier, s'entend sans intérêts qui n'ont pas été revendiqués par le Conseil de l'intimé.</w:t>
      </w:r>
    </w:p>
    <w:p>
      <w:r>
        <w:rPr>
          <w:b/>
        </w:rPr>
        <w:t>E. 5</w:t>
      </w:r>
    </w:p>
    <w:p>
      <w:r>
        <w:t>5.1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 Bâle 2011, n. 6 ad art. 428). 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 Zurich 2010, n. 9 ad art. 428 ; N. SCHMID, Schweizerische Strafprozessordnung : Praxiskommentar , Zurich 2009, n. 8 ad art. 428).</w:t>
      </w:r>
    </w:p>
    <w:p>
      <w:r>
        <w:rPr>
          <w:b/>
        </w:rPr>
        <w:t>E. 5.2</w:t>
      </w:r>
    </w:p>
    <w:p>
      <w:r>
        <w:t>L'appelant joint a obtenu gain de cause pour l'essentiel, sous réserve de la prise en charge de ses frais de défense pour la procédure de première instance qui n'est que partielle. Les exceptions que prévoit l'art. 428 al. 2 CPP ne sont pas réalisées dans le cas d'espèce. Au vu de ce qui précède, il y aurait lieu de mettre l'essentiel des frais de la procédure d'appel à la charge de la partie appelante. Il y sera toutefois renoncé eu égard à son statut de bénéficiaire de l'assistance juridique qui l'exonère des frais encourus (art. 136 al. 2 let. a CPP). Ceux-ci seront donc laissés à la charge de l'Etat.</w:t>
      </w:r>
    </w:p>
    <w:p>
      <w:r>
        <w:rPr>
          <w:b/>
        </w:rPr>
        <w:t>E. 6.1</w:t>
      </w:r>
    </w:p>
    <w:p>
      <w:r>
        <w:t>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6.2.2 À teneur de la jurisprudence, est décisif pour fixer la rémunération de l'avocat, le nombre d'heures nécessaires pour assurer la défense d'office du prévenu (arrêt du Tribunal fédéral 2C_509/2007 du 19 novembre 2007 consid. 4).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 L'avocat [doit] ainsi veiller au respect du principe de proportionnalité (R. HAUSER / E. SCHWERI / K. HARTMANN, Schweizerisches Strafprozessrecht , 6 e éd., Bâle 2005, no 5 ad § 109).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6.3</w:t>
      </w:r>
    </w:p>
    <w:p>
      <w:r>
        <w:t>En l'occurrence, considéré dans sa globalité, l'état de frais produit par le conseil juridique gratuit de A______ paraît adéquat et conforme aux principes qui précèdent, de sorte qu'il n'est pas nécessaire de reprendre le détail des postes qui le composent. Aussi l'indemnité requise par le conseil juridique gratuit de la partie plaignante sera-t-elle admise à hauteur de CHF 2'026.25, ce montant correspondant à six heures d'activité au tarif de CHF 200.-/heure [CHF 1'200.-], la durée de l'audience au même tarif [CHF 300.-], 10 minutes au tarif horaire de CHF 65.- [CHF 10.85] plus la majoration forfaitaire de 20% [CHF 302.15] et l'équivalent de la TVA au taux de 8% [CHF 145.05], auxquels il y a lieu d'ajouter les débours justifiés par pièce [CHF 68.20].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