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P/21093/2021 vom 23. August 2022</w:t>
      </w:r>
    </w:p>
    <w:p>
      <w:r>
        <w:t>GE Cour de justice, 2022-08-23, FR</w:t>
      </w:r>
    </w:p>
    <w:p>
      <w:r>
        <w:rPr>
          <w:b/>
        </w:rPr>
        <w:t xml:space="preserve">Quelle: </w:t>
      </w:r>
      <w:r>
        <w:t>https://mcp.opencaselaw.ch/entscheid/ge_gerichte_P_21093_2021</w:t>
      </w:r>
    </w:p>
    <w:p>
      <w:r>
        <w:t>FR: GE_GERICHTE P/21093/2021 du 23 août 2022</w:t>
      </w:r>
    </w:p>
    <w:p>
      <w:r>
        <w:t>IT: GE_GERICHTE P/21093/2021 del 23 agosto 2022</w:t>
      </w:r>
    </w:p>
    <w:p>
      <w:pPr>
        <w:pStyle w:val="Heading2"/>
      </w:pPr>
      <w:r>
        <w:t>Regeste</w:t>
      </w:r>
    </w:p>
    <w:p>
      <w:r>
        <w:t>RECEL | CP.160; CPP.10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Selon l'art. 160 al. 1 ch.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la dissimulation et l'aide à la négociation d'une chose dont l'auteur sait ou doit présumer qu'un tiers l'a obtenue au moyen d'une infraction contre le patrimoine (ATF 128 IV 23 consid. 3c p. 24). Le recel est une infraction intentionnelle, mais il suffit que l'auteur sache ou doive présumer, respectivement qu'il accepte l'éventualité que la chose provienne d'une infraction contre le patrimoine (arrêts du Tribunal fédéral 6B_1124/2014 du 22 septembre 2015 consid. 2.1 ; 6B_728/2010 du 1 er mars 2011 consid. 2.2). Il en va ainsi lorsque les circonstances suggèrent le soupçon de la provenance délictueuse (ATF 129 IV 230 consid. 5.3.2 p. 236 s. et les références à ATF 119 IV 242 consid. 2b p. 247 ; 101 IV 402 consid. 2 p. 405 s.). Le juge, en analysant les circonstances concrètes, doit se convaincre que l'auteur a accepté l'éventualité que la chose provienne d'une infraction contre le patrimoine. Il suffit cependant que les raisons de le soupçonner soient telles que cette possibilité s'impose à l'esprit (cf. ATF 119 IV 247 consid. 2b, 101 IV 405 s. consid. 2). Il n'est pas nécessaire que le receleur connaisse la nature exacte de l'infraction contre le patrimoine, ni les circonstances dans lesquelles elle s'est déroulée (ATF 119 IV 247 consid. 2b ; B. CORBOZ, Les infractions en droit suisse , Vol. I, 3 ème éd., Berne 2010, N 48 et 49 ad art. 160). Le dol éventuel ne doit pas être confondu avec la négligence consciente ; l'auteur agit par dol éventuel (art. 12 al. 2 CP) lorsqu'il envisage sérieusement la survenance du résultat qu'il reconnaît comme possible, compte sur cette survenance et s'en accommode. En d'autres termes, il ne suffit pas qu'il soit conscient du risque de réalisation du fait légal et qu'il ait agi malgré tout (M. DUPUIS / L. MOREILLON / C. PIGUET / S. BERGER / M. MAZOU / V. RODIGARI, Petit commentaire du Code pénal , 2 ème éd., 2017, n. 18 ad art. 12).</w:t>
      </w:r>
    </w:p>
    <w:p>
      <w:r>
        <w:rPr>
          <w:b/>
        </w:rPr>
        <w:t>E. 2.3</w:t>
      </w:r>
    </w:p>
    <w:p>
      <w:r>
        <w:t>En l'espèce, il est établi par les éléments au dossier, et non contesté, que le téléphone retrouvé sur l'appelant appartient au fils de la plaignante. Les circonstances de la vente – avec un quasi inconnu dans le quartier des F______, sans remise de quittance – auraient pu éveiller les soupçons de l'appelant ; il sera néanmoins retenu, à décharge, que le prix de vente du téléphone ne paraît pas, en soi, exceptionnellement bas pour un téléphone d'occasion, d'autant plus que l'appelant allègue son mauvais état. Il a également indiqué avec constance, au cours de la procédure, s'être enquis auprès du vendeur de l'origine du téléphone, ce qui constitue un indice de sa volonté de ne pas acquérir un objet volé. L'appelant allègue en outre avoir été mis en garde par des tiers, après la vente, s'agissant de l'utilisation de ce téléphone et avoir souhaité le restituer, il déclare d'ailleurs ne pas l'avoir utilisé ; cela étant, la survenance d’un doute a posteriori ne suffit pas à réaliser l’élément subjectif de l’infraction. Si certains éléments entourant l'achat du téléphone sont troublants, la CPAR retient en définitive qu'il ne peut être établi avec certitude que l'appelant savait, ou devait savoir, au moment de son acquisition, qu'il avait une origine délictueuse. Il sera dès lors retenu, au bénéfice du doute, que l'élément subjectif n'est pas rempli et l'appelant sera acquitté de l'infraction de recel. L'appel sera donc admis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 2 ème éd., 2017, n. 3 ad art. 41).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 6 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 territoire concerné sans motif justifié de non-retour (arrêt de la CJUE du 28 avril 2011 C-61/11 PPU EL DRIDI).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Il en va notamment ainsi lors de la commission d'une infraction à l'art. 119 LEI pour des motifs d'ordre public, la directive retour ne s'appliquant pas dans ce cas (ATF 143 IV 264 consid. 2.6.2).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Si l'art. 49 al. 2 CP entre en considération, le juge doit fixer une peine complémentaire ( Zusatzstrafe ) à la peine de base ( Grundstrafe ) en tenant compte du principe de l'aggravation découlant de l'art. 49 al. 1 CP (ATF 145 IV 1 consid. 1.3 p. 8).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217 consid. 2.2 p. 219 ; arrêt du Tribunal fédéral 6B_884/2018 du 5 février 2019 consid. 1.1.1).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 138 IV 120 consid. 5.2). La peine de départ ( Einsatzstrafe ) est celle dont l’infraction est abstraitement la plus grave parmi toutes celles à considérer. Une fois que le juge a aggravé celle-ci et défini une peine d’ensemble hypothétique, il en déduit la peine de base afin de prononcer la peine complémentaire (ATF 142 IV 265 , consid. 2.4.4). 3.2.1. En l'espèce, l'appelant ne conteste pas sa culpabilité en relation avec les infractions d'entrée et de séjour illégal (art. 115 al. 1 let. a et b LEI), de violation de l'interdiction de pénétrer dans une région déterminée (art. 119 al. 1 LEI) et de consommation de stupéfiants (art. 19a ch. 1 LStup), lesquelles ont été commises entre le 10 juin et le 29 octobre 2021. Les faits reprochés à l'appelant sont relativement graves, à tout le moins au vu de leur répétition, nonobstant ses interpellations successives depuis le mois de juin 2021. Sa situation personnelle peut partiellement expliquer ses actes mais ne les justifie pas, celui-ci s'entêtant à séjourner en Suisse où il n'a aucune perspective de gain licite et aucune attache – une relation avec une femme, établie à Genève, n'étant pas avérée ni corroborée par une quelconque preuve. Sa collaboration est bonne ; il a reconnu les faits liés aux infractions à la LStup et à la LEI, même s'il ne pouvait que difficilement les contester compte tenu des circonstances de ses interpellations. Si l'appelant n'avait certes aucun antécédent au moment du premier prononcé, il y a concours d'infractions ce qui est un facteur aggravant. L'appelant, qui invoque la possibilité de régulariser sa situation administrative avec sa compagne et d'obtenir une autorisation de travail en Europe afin de s'acquitter de sa peine, ne dispose d'aucune source de revenu légale, ce qui rend illusoire toute perspective de recouvrement d'une peine pécuniaire. Il n'a d'ailleurs pas payé, ne serait-ce que de manière partielle la peine pécuniaire ferme prononcée à son encontre le 19 décembre 2021. De surcroît, il ne produit aucune pièce étayant la réalité d'un quelconque projet en Suisse ou à l'étranger, ni aucune preuve de dépôt d'une demande de permis de séjour. L'existence même d'une compagne, en Suisse ou en Europe, n'est d'ailleurs pas avérée et le fait qu'il ignore son prénom et son éventuelle grossesse n'accrédite pas sa thèse. Ainsi, les éléments qui précèdent imposent de confirmer le choix du genre de peine. Toutefois, la quotité de la peine prononcée par le premier juge doit être réévaluée (cf. infra consid. 3.2.2.). 3.2.2. Les faits objets de la présente cause ont été commis avant ceux ayant donné lieu à la condamnation du 19 décembre 2021, dès lors une peine complémentaire s'impose. Il convient de déterminer la peine d'ensemble hypothétique pour les faits commis entre le 10 juin et le 29 octobre 2021 avec ceux faisant l'objet de la condamnation du 19 décembre 2021 (peine privative de liberté de 90 jours pour violation de l'interdiction de pénétrer dans une région déterminée et peine pécuniaire de 10 jours-amende à CHF 10.- pour opposition aux actes de l'autorité). Il faut retenir que si tous les faits avaient été jugés en même temps, une peine privative de liberté de base de 80 jours aurait été fixée pour la première violation de l'interdiction de pénétrer dans une région déterminée. Cette peine aurait été aggravée de 40 jours (peine théorique de 80 jours) pour tenir compte de la seconde violation, puis de 15 jours (peine théorique de 30 jours) pour l'entrée illégale, et de 15 jours (peine théorique de 30 jours) pour le séjour illégal. Une peine privative de liberté d'ensemble aurait ainsi été arrêtée à 150 jours, d'où le prononcé d'une peine complémentaire de 60 jours (150 – 90). Dès lors, il convient de ramener la peine privative de liberté prononcée par le TP à 60 jours afin de respecter les principes d'atténuation de la peine découlant des règles du concours et de tenir compte de l'acquittement prononcé. 3.2.3. L'octroi du sursis et la durée du délai d'épreuve de trois ans, non contestés en appel, sont acquis à l'appelant (art. 391 al. 2 CPP). 3.2.4. Seule une amende peut être prononcée pour les contraventions à l'art. 19a ch. 1 LStup. La quotité de l'amende prononcée par le premier juge apparaît relativement faible (CHF 500.-) vu le nombre important de contraventions à l'art. 19a ch. 1 LStup commises ; de surcroît, l'une de ces contraventions portait sur une drogue dite "dure". Toutefois, au vu de l'interdiction de la reformatio in pejus (art. 391 al. 2 CPP), la CPAR ne peut pas aller au-delà de la sanction prononcée par le TP qui sera donc confirmée.</w:t>
      </w:r>
    </w:p>
    <w:p>
      <w:r>
        <w:rPr>
          <w:b/>
        </w:rPr>
        <w:t>E. 4.1</w:t>
      </w:r>
    </w:p>
    <w:p>
      <w:r>
        <w:t>Aux termes de l'art. 66a bis CP, le juge peut expulser un étranger du territoire suisse pour une durée de trois à quinze ans si, pour un crime ou un délit non visé à l'art. 66a CP, celui-ci a été condamné à une peine ou a fait l'objet d'une mesure.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et 139 I 31 consid. 2.3.3).</w:t>
      </w:r>
    </w:p>
    <w:p>
      <w:r>
        <w:rPr>
          <w:b/>
        </w:rPr>
        <w:t>E. 4.2</w:t>
      </w:r>
    </w:p>
    <w:p>
      <w:r>
        <w:t>En l'occurrence, l'appelant ne représente pas un danger sérieux pour la sécurité publique et n'avait pas d'antécédent au moment du prononcé du TP. En outre, les délits pour lesquels il est condamné sont de gravité moyenne, voire légère. En définitive, l'expulsion pénale apparaît disproportionnée eu égard aux infractions en cause et à la peine prononcée. Vu l'absence d'intérêt public de la Suisse au prononcé d'une expulsion de l'appelant, il sera renoncé à cette mesure. L'appel sera partant admis sur ce point et le jugement entrepris réformé en ce sens.</w:t>
      </w:r>
    </w:p>
    <w:p>
      <w:r>
        <w:rPr>
          <w:b/>
        </w:rPr>
        <w:t>E. 5.1</w:t>
      </w:r>
    </w:p>
    <w:p>
      <w:r>
        <w:t>Selon l'art. 428 al. 1 ph. 1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5.2</w:t>
      </w:r>
    </w:p>
    <w:p>
      <w:r>
        <w:t>1. En l'occurrence, vu l'acquittement prononcé et la renonciation à l'expulsion pénale, il se justifie de revoir la répartition des frais de la procédure de première instance, qui seront mis à la charge de l'appelant à raison des trois quarts, le solde étant supporté par l'État.</w:t>
      </w:r>
    </w:p>
    <w:p>
      <w:r>
        <w:rPr>
          <w:b/>
        </w:rPr>
        <w:t>E. 5.2.2</w:t>
      </w:r>
    </w:p>
    <w:p>
      <w:r>
        <w:t>L'appelant obtenant gain de cause pour deux des trois conclusions prises en appel, il convient donc de le condamner à un tiers des frais de la procédure d'appel, lesquels comprennent un émolument de jugement de CHF 1'000.-, le solde étant laissé à la charge de l'État (art. 428 CPP ; 14 al. 1 let. e du règlement fixant le tarif des frais et dépens en matière pénale [RTFMP]).</w:t>
      </w:r>
    </w:p>
    <w:p>
      <w:r>
        <w:rPr>
          <w:b/>
        </w:rPr>
        <w:t>E. 6.1</w:t>
      </w:r>
    </w:p>
    <w:p>
      <w:r>
        <w:t>Selon l'art. 135 al. 1 CPP, le défenseur d'office est indemnisé conformément au tarif des avocats de la Confédération ou du canton du for du procès. À Genève, l'art. 16 al. 1 du règlement sur l'assistance juridique (RAJ) prescrit que l'indemnité, en matière pénale, est calculée selon le tarif horaire de CHF 200.- (let. c) pour le chef d'étude,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w:t>
      </w:r>
    </w:p>
    <w:p>
      <w:r>
        <w:rPr>
          <w:b/>
        </w:rPr>
        <w:t>E. 6.2</w:t>
      </w:r>
    </w:p>
    <w:p>
      <w:r>
        <w:t>À défaut de la production d'une note d'honoraires et compte tenu du dossier, la CPAR retient que l'activité nécessaire de la défenseure d'office de l'appelant doit être circonscrite à l'activité diverse comprise dans le forfait applicable et à deux heures de prestations pour la rédaction du mémoire d'appel, le dossier étant déjà bien connu d'elle pour avoir été plaidé en première instance. Partant, la rémunération de M e C______ sera arrêtée, ex aequo et bono , à CHF 516.95 correspondant à 2h d'activité au tarif horaire de CHF 200.- (CHF 400.-), plus la majoration forfaitaire de 20% (CHF 80.-) et l'équivalent de la TVA au taux de 7.7% (CHF 36.95).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