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P/21065/2017 vom 31. Mai 2021</w:t>
      </w:r>
    </w:p>
    <w:p>
      <w:r>
        <w:t>GE Cour de justice, 2021-05-31, FR</w:t>
      </w:r>
    </w:p>
    <w:p>
      <w:r>
        <w:rPr>
          <w:b/>
        </w:rPr>
        <w:t xml:space="preserve">Quelle: </w:t>
      </w:r>
      <w:r>
        <w:t>https://mcp.opencaselaw.ch/entscheid/ge_gerichte_P_21065_2017</w:t>
      </w:r>
    </w:p>
    <w:p>
      <w:r>
        <w:t>FR: GE_GERICHTE P/21065/2017 du 31 mai 2021</w:t>
      </w:r>
    </w:p>
    <w:p>
      <w:r>
        <w:t>IT: GE_GERICHTE P/21065/2017 del 31 maggio 2021</w:t>
      </w:r>
    </w:p>
    <w:p>
      <w:pPr>
        <w:pStyle w:val="Heading2"/>
      </w:pPr>
      <w:r>
        <w:t>Regeste</w:t>
      </w:r>
    </w:p>
    <w:p>
      <w:r>
        <w:t>INJURE; DEPENS | CP.177; CP.52; CPP.433; CPP.429</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6 par. 3 let. d CEDH garantit à tout accusé le droit d'interroger ou de faire interroger les témoins.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 arrêt du Tribunal fédéral 6B_1310/2016 du 13 décembre 2017 consid. 2.1).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p. 49; arrêts du Tribunal fédéral 6B_1074/2018 du 24 janvier 2019 consid. 1.1; 6B_956/2016 du 19 juillet 2017 consid. 2.3.1 et les références citées). Il incombe néanmoins aux autorités de poursuite pénale de mettre en œuvre une confrontation. Il ne peut ainsi être reproché au prévenu de requérir une telle confrontation au stade de l'appel seulement (arrêt du Tribunal fédéral 6B_956/2016 précité consid. 2.3.2 et la référence citée).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(arrêts du Tribunal fédéral 6B_1310/2016 du 13 décembre 2017 consid. 2.1 ; 6B_956/2016 du 19 juillet 2017 consid. 2.3.1 ; 6B_947/2015 du 29 juin 2017 consid. 5.5.1 et les références ; 6B_456/2011 du 27 décembre 2011 consid. 1.1 et les références).</w:t>
      </w:r>
    </w:p>
    <w:p>
      <w:r>
        <w:rPr>
          <w:b/>
        </w:rPr>
        <w:t>E. 2.3</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(arrêt du Tribunal fédéral 6B_130/2017 du 27 février 2018 consid. 3.1 = SJ 2018 I 385).</w:t>
      </w:r>
    </w:p>
    <w:p>
      <w:r>
        <w:rPr>
          <w:b/>
        </w:rPr>
        <w:t>E. 2.4</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(ATF 133 IV 1 consid. 5.1 p. 8 ; arrêt du Tribunal fédéral 6B_876/2015 du 2 mai 2016, consid. 2.1 non publié aux ATF 142 IV 245 ).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arrêt précité 6B_876/2015 , loc. cit. ).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(arrêt précité 6B_876/2015 consid. 2.1).</w:t>
      </w:r>
    </w:p>
    <w:p>
      <w:r>
        <w:rPr>
          <w:b/>
        </w:rPr>
        <w:t>E. 2.5</w:t>
      </w:r>
    </w:p>
    <w:p>
      <w:r>
        <w:t>L'art. 90 LCR constitue la base légale pour réprimer les violations de règles de la circulation ; à teneur de son al. 2, est considérée comme grave la violation grossière d'une règle fondamentale, qui crée un sérieux danger pour la vie d'autrui, même de manière abstraite.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Le comportement de l'auteur doit causer une mise en danger de la vie ou de la santé d'un être humain, à l'exclusion du patrimoine d'autrui (Y. JEANNERET, Les dispositions pénales de la loi sur la circulation routière , Berne 2007, n. 24 ad art. 90). Le comportement de l'auteur crée une mise en danger concrète lorsqu'il existe, selon le cours ordinaire des choses, une probabilité sérieuse de réalisation effective et imminente du risque, à savoir une atteinte à la vie ou à la santé d'au moins une personne déterminée.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w:t>
      </w:r>
    </w:p>
    <w:p>
      <w:r>
        <w:rPr>
          <w:b/>
        </w:rPr>
        <w:t>E. 2.6</w:t>
      </w:r>
    </w:p>
    <w:p>
      <w:r>
        <w:t>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même si l'auteur en est également copropriétaire.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 l'uniforme d'un fonctionnaire (ATF 128 IV 250 consid. 2 p. 252 ; arrêts du Tribunal fédéral 6B_77/2017 du 16 janvier 2018 consid. 2.1 et les références ; 6B_348/2012 du 24 octobre 2012 consid. 2.2).</w:t>
      </w:r>
    </w:p>
    <w:p>
      <w:r>
        <w:rPr>
          <w:b/>
        </w:rPr>
        <w:t>E. 2.7</w:t>
      </w:r>
    </w:p>
    <w:p>
      <w:r>
        <w:t>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Ce comportement ne doit pas nécessairement viser l'auteur de l'injure. Une conduite grossière en public peut suffire (ATF 117 IV 270 consid. 2c p. 173). La notion d'immédiateté doit être comprise comme une notion temporelle, en ce sens que l'auteur doit avoir agi sous le coup de l'émotion provoquée par la conduite répréhensible de l'injurié, sans avoir eu le temps de réfléchir (ATF 83 IV 151 et les références citées).</w:t>
      </w:r>
    </w:p>
    <w:p>
      <w:r>
        <w:rPr>
          <w:b/>
        </w:rPr>
        <w:t>E. 2.8</w:t>
      </w:r>
    </w:p>
    <w:p>
      <w:r>
        <w:t>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affective (ATF 117 IV 445 consid. 2b p. 448 ; ATF 106 IV 125 consid. 2a p. 128), ni que l'auteur ait réellement la volonté de réaliser sa menace (ATF 105 IV 120 consid. 2a p. 122). La réalisation d'un dommage doit cependant être présentée par l'auteur comme un événement dépendant, directement ou indirectement, de sa volonté (arrêt du Tribunal fédéral 6B_1428/2016 du 3 octobre 2017 consid. 2.1 et les références).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p. 100).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(arrêt du Tribunal fédéral 6B_1428/2016 du 3 octobre 2017 consid. 2.1 et les références). Les menaces de lésions corporelles graves ou de mort doivent en revanche être considérées comme des menaces graves au sens de l'art. 180 CP (arrêts du Tribunal fédéral 6B_787/2018 du 1 er octobre 2018 consid. 3.1 ; 6B_1428/2016 du 3 octobre 2017 consid. 2.1 et la référence).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p. 215). Cet élément constitutif de l'infraction, qui se rapporte au contenu des pensées d'une personne, relève de l'établissement des faits (ATF 135 IV 152 consid. 2.3.2 p. 156 ; ATF 119 IV 1 consid. 5a p. 3 ; arrêt du Tribunal fédéral 6B_1328/2017 du 10 avril 2018 consid. 2.1). Peu importe que les menaces aient été rapportées de manière indirecte à la victime (arrêts du Tribunal fédéral 6B_578/2016 du 19 août 2016 consid. 2.1 ; 6B_871/2014 du 24 août 2015 consid. 2.2.2; 6B_820/2011 du 5 mars 2012 consid. 3). Subjectivement, l'auteur doit avoir l'intention non seulement de proférer des menaces graves, mais aussi d'alarmer ou d'effrayer le destinataire. Le dol éventuel suffit (arrêts du Tribunal fédéral 6B_787/2018 du 1 er octobre 2018 consid. 3.1 ; 6B_1009/2014 du 2 avril 2015 consid. 3.1 ; 6B_598/2011 du 27 juillet 2012 consid. 1.1).</w:t>
      </w:r>
    </w:p>
    <w:p>
      <w:r>
        <w:rPr>
          <w:b/>
        </w:rPr>
        <w:t>E. 2.9</w:t>
      </w:r>
    </w:p>
    <w:p>
      <w:r>
        <w:t>Selon l'art. 91 al. 1 LCR, quiconque a conduit un véhicule automobile en état d'ébriété, est puni de l'amende. La peine sera une peine privative de liberté de trois ans au plus ou une peine pécuniaire lorsque le taux d'alcoolémie est qualifié (al. 2 let. a) tout comme celui qui conduit un véhicule automobile alors qu’il se trouve dans l’incapacité de conduire pour d’autres raisons (al. 2 let. b). Aux termes de l'art. 1 de l'ordonnance de l'Assemblée fédérale concernant les taux d'alcoolémie limites admis en matière de circulation routière, un conducteur est réputé incapable de conduire lorsqu'il présente un taux d’alcool dans le sang de 0,5 gramme pour mille ou plus ou un taux d’alcool dans l’haleine de 0,25 milligramme ou plus par litre d’air expiré, ou encore que son organisme contient une quantité d'alcool entraînant un tel taux d'alcoolémie (état d'ébriété ; ch. 1). Est réputé qualifié un taux d’alcool dans le sang de 0,8 gramme pour mille ou plus ou un taux d’alcool dans l’haleine de 0,4 milligramme ou plus par litre d’air expiré (ch. 2). En ce qui concerne la consommation de stupéfiants, à teneur des art. 2 de l’ordonnance sur les règles de la circulation routière (OCR) et 34 de l’ordonnance de l’OFROU concernant l’ordonnance sur le contrôle de la circulation routière (OOCCR-OFROU), un conducteur est réputé incapable de conduire chaque fois qu’il est prouvé que la quantité de THC dans le sang atteint ou dépasse 1,5 µg/l. Ces dispositions posent une présomption irréfragable de l'existence objective d'une incapacité de conduire (art. 55 al. 7 let a LCR).</w:t>
      </w:r>
    </w:p>
    <w:p>
      <w:r>
        <w:rPr>
          <w:b/>
        </w:rPr>
        <w:t>E. 2.10</w:t>
      </w:r>
    </w:p>
    <w:p>
      <w:r>
        <w:t>À teneur de l'art. 95 ch.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2.11</w:t>
      </w:r>
    </w:p>
    <w:p>
      <w:r>
        <w:t>Comme le premier juge,la CPAR retient que, le 15 octobre 2017, en début de matinée, dans le parking situé sous l'autoroute A1a à la route 1______, une violente altercation a opposé différents protagonistes, parmi lesquels les deux appelants, mais que le dossier ne permet pas de déterminer avec certitude qui a débuté les hostilités verbales, les protagonistes ayant des versions divergentes à ce sujet et aucun élément objectif ne permettant de trancher. La CPAR retient néanmoins que l’origine de l’altercation réside dans le comportement inadéquat de l’appelant joint à l’égard de sa compagne, notamment la gifle qu’il lui a infligée, qui a suscité l’intervention des autres participants dans l’intention de s’assurer de la sécurité de la jeune femme. Il est établi, à la fois par les déclarations et par les analyses effectuées, que l’ensemble des participants se trouvaient, à des degrés divers, sous l’influence de l’alcool, voire de stupéfiants. Les déclarations faites à la police par la passagère, qui n’a jamais répondu aux convocations du MP mais dont aucune partie n’a par la suite requis l’audition, peuvent être prises en compte, puisqu’en ne sollicitant pas son audition en appel, alors que le premier juge avait déjà souligné que l’absence de demande en ce sens emportait renonciation à la confrontation, les parties y ont définitivement renoncé.</w:t>
      </w:r>
    </w:p>
    <w:p>
      <w:r>
        <w:rPr>
          <w:b/>
        </w:rPr>
        <w:t>E. 2.12</w:t>
      </w:r>
    </w:p>
    <w:p>
      <w:r>
        <w:t>En ce qui concerne les faits reprochés à l’appelant principal, la CPAR retient ce qui suit.</w:t>
      </w:r>
    </w:p>
    <w:p>
      <w:r>
        <w:rPr>
          <w:b/>
        </w:rPr>
        <w:t>E. 2.12.1</w:t>
      </w:r>
    </w:p>
    <w:p>
      <w:r>
        <w:t>Les dommages à la propriété allégués n’ont jamais été documentés. Le rapport de police initial n’en fait aucune mention ; aucune photo n’a été prise et encore moins produite. Aucune facture n’a été fournie, et le véhicule supposé endommagé n’a pas été séquestré mais restitué à son propriétaire, ce qui indique à tout le moins qu’il n’était pas endommagé au point de présenter un empêchement à la circulation. Si l’appelant joint affirme l’existence de ces dommages, l’appelant principal les nie. Aucun des protagonistes de l’altercation n’a fait état de ces dommages, en particulier pas la passagère, qui mentionne les coups mais pas de fissure ou bris du pare-brise du véhicule. Ainsi, l’élément objectif de l’infraction à l’art. 144 CP n’est pas établi, et l’appelant devra en être acquitté, faute de démonstration, par l’accusation et le plaignant, de la matérialité de l’infraction. La question de l’intention, tout comme celle de la validité de la plainte, souffrent dès lors de demeurer indécises.</w:t>
      </w:r>
    </w:p>
    <w:p>
      <w:r>
        <w:rPr>
          <w:b/>
        </w:rPr>
        <w:t>E. 2.12.2</w:t>
      </w:r>
    </w:p>
    <w:p>
      <w:r>
        <w:t>Les protagonistes ont échangé des injures réciproques. Il ressort de la procédure que si l’intervention de l’appelant principal envers l’appelant joint était motivée initialement par un but altruiste, il ne s’est pas contenté de la fin de non-recevoir opposée par la jeune femme, ce qui a contribué à l’escalade de la situation. Ainsi, si les injures ont initialement été provoquées par une conduite répréhensible de l’injurié, elles ont dépassé le simple stade de la réponse à la provocation pour contribuer à envenimer la situation. Le verdict de culpabilité d’injure sera confirmé à l’égard de l’appelant ; il ne le conteste d’ailleurs pas, son appel ne portant que sur la sanction.</w:t>
      </w:r>
    </w:p>
    <w:p>
      <w:r>
        <w:rPr>
          <w:b/>
        </w:rPr>
        <w:t>E. 2.12.3</w:t>
      </w:r>
    </w:p>
    <w:p>
      <w:r>
        <w:t>L’accusation de menace en lien avec la seconde partie de l’altercation (volet lié à la matraque) a été définitivement classée. L’accusation qui subsiste à l’encontre de l’appelant principal est d’avoir menacé l’appelant joint d’en venir aux mains. Les déclarations des protagonistes, y compris d’ailleurs, initialement, celles de l’appelant joint, concordent sur le fait que l’appelant principal a proposé à l’appelant joint de se battre avec lui plutôt que de frapper une femme. Il lui a ainsi proposé d’en venir mutuellement aux mains, mais il n’en ressort pas qu’il l’aurait menacé expressément de violence. L’appelant joint dit lui-même avoir ressenti de la crainte en raison de la présence de plusieurs personnes, et non pas du fait des propos de l’appelant principal. Rien ne permet de retenir que les autres personnes présentes, en particulier la partie plaignante et le témoin, auraient tenu des propos menaçants ; l’appelant joint a expressément mis le témoin hors de cause lorsqu’il a déposé plainte. L’appelant joint ne fait pas état, en réalité, d’une réelle crainte qu’il aurait ressentie, mais plutôt du fait qu’en raison du nombre de personnes présentes, il n’a répondu à ce qu’il a perçu comme une provocation. Il semble même qu’il était un instant prêt à en découdre mais a été retenu par sa compagne. Ainsi, les propos reprochés à l’appelant principal ne peuvent être qualifiés de menaces au sens de l’art. 180 CP : ils s’apparentent tout au plus à de la provocation, non à une menace et ne sont en tant que tels pas objectivement susceptibles de causer une crainte fondée. De surcroît, ils n’ont pas suscité une réelle peur chez l’appelant joint. L’appel sera donc admis sur ce point.</w:t>
      </w:r>
    </w:p>
    <w:p>
      <w:r>
        <w:rPr>
          <w:b/>
        </w:rPr>
        <w:t>E. 2.13</w:t>
      </w:r>
    </w:p>
    <w:p>
      <w:r>
        <w:t>En ce qui concerne les faits reprochés à l’appelant joint, la CPAR retient ce qui suit.</w:t>
      </w:r>
    </w:p>
    <w:p>
      <w:r>
        <w:rPr>
          <w:b/>
        </w:rPr>
        <w:t>E. 2.13.1</w:t>
      </w:r>
    </w:p>
    <w:p>
      <w:r>
        <w:t>L’altercation a débuté en raison du comportement inadéquat de l’appelant joint à l’égard de sa compagne. Les protagonistes ont échangé des injures réciproques ; l’appelant joint a escaladé ses propos lorsque l’appelant principal a insisté pour intervenir. Il a ainsi provoqué les premières injures, et ne saurait en conséquence se prévaloir de la réponse de l’injurié pour s’exculper. Le verdict de culpabilité d’injure sera dès lors confirmé.</w:t>
      </w:r>
    </w:p>
    <w:p>
      <w:r>
        <w:rPr>
          <w:b/>
        </w:rPr>
        <w:t>E. 2.13.2</w:t>
      </w:r>
    </w:p>
    <w:p>
      <w:r>
        <w:t>Prenant la défense de la passagère, l’appelant principal a proposé à l’appelant joint de s’en prendre plutôt à lui ; ces propos s’inscrivaient en réaction au coup que l’appelant joint avait donné à son amie. En annonçant son intention de « venir avec des flingues ... pour lui faire la peau », tout en sortant de son véhicule avec une bouteille à la main dans un geste menaçant, l’appelant joint a clairement envenimé le conflit. L’appelant principal a été effrayé au point de ressentir la nécessité de se munir de la matraque se trouvant dans son véhicule. Les propos de l’appelant joint sont ainsi allés au-delà de la simple réponse à la provocation. Ils ont suscité une crainte réelle chez son interlocuteur. L’appelant joint ne peut dès lors se prévaloir de la légitime défense puisqu’il a lui-même provoqué la situation par son comportement initial inadéquat. De plus, rien ne justifiait les menaces prononcées à l’encontre de la partie de le « retrouver » ultérieurement en lui disant qu’il était « mort », lui faisant également craindre pour son intégrité, et ce alors que la partie plaignante ne le provoquait pas. Le verdict de culpabilité de menaces doit ainsi être confirmé.</w:t>
      </w:r>
    </w:p>
    <w:p>
      <w:r>
        <w:rPr>
          <w:b/>
        </w:rPr>
        <w:t>E. 2.13.3</w:t>
      </w:r>
    </w:p>
    <w:p>
      <w:r>
        <w:t>L’appelant joint a effectué des manœuvres extrêmement dangereuses avec son véhicule, puisqu’il a démarré en sachant pertinemment que la partie plaignante puis l’appelant principal se trouvaient sur son chemin. Sa version des faits a été variable : après avoir initialement admis que la partie plaignante se trouvait dans la trajectoire du véhicule, il l’a nié en appel allant jusqu’à décrire, pour la première fois, un comportement dangereux des plaignants. Les témoignages concordants sont néanmoins clairs et d’ailleurs conformes à certaines déclarations de l’appelant joint. Par ses manœuvres, il a sciemment pris le risque de les blesser, au point de considérer que si un choc se produisait, ce serait leur faute. Il apparait néanmoins que les faits se sont produits dans un parking, au démarrage du véhicule, et que même s’il a accéléré sans égard aux personnes présentes et de façon exagérée, il n’a pour autant pas atteint une vitesse susceptible d’occasionner un choc si important que la vie même des deux piétons aurait été mise en danger, étant précisé que rien ne permet de penser qu’il les aurait complètement écrasés s’ils ne s’étaient pas écartés, l’appelant envisageant plutôt un choc entraînant des blessures et non la mort. Une condition objective d’application de l’art. 129 CP fait ainsi défaut, puisque si l’appelant a bel et bien agi sans scrupules et mis l’intégrité physique des deux piétons en danger, celui-ci ne peut être qualifié de danger de mort imminent. L’appelant joint ne peut a fortiori pas se prévaloir de la légitime défense pour ces manœuvres. Il a lui-même créé la situation dangereuse et conduit l’appelant principal à se munir d’une matraque ; de plus, cette matraque, contrairement à la bouteille d’alcool, n’était pas brandie mais dissimulée et ne constituait pas une menace concrète. La condamnation de l’appelant pour infraction grave à la LCR, plus particulièrement violation des règles élémentaires de prudence (art. 26 LCR), sur la maîtrise du véhicule (art. 31 LCR), sur l’adaptation de la vitesse aux circonstances (art. 32 LCR), des règles de priorité et de sécurité en cas de démarrage et de marche arrière (art. 36 LCR, 17 OCR) ainsi que les égards dus aux piétons (art. 33 LCR), avec mise en danger concrète, doit dès lors être confirmée.</w:t>
      </w:r>
    </w:p>
    <w:p>
      <w:r>
        <w:rPr>
          <w:b/>
        </w:rPr>
        <w:t>E. 2.13.4</w:t>
      </w:r>
    </w:p>
    <w:p>
      <w:r>
        <w:t>L’appelant joint conteste encore sa condamnation pour conduite en état d’ébriété, sous l’influence de cannabis et alors qu’il n’était pas autorisé à circuler en Suisse, invoquant là également la légitime défense. Ce qui précède vaut également ici, et ce fait justificatif doit être écarté, tout comme d’ailleurs l’état de nécessité implicitement plaidé. En effet, si conformément à l'art. 17 al. 1 CP, un acte n'est pas punissable s'il a été commis pour préserver d'un danger imminent et impossible à détourner autrement un bien appartenant à l'auteur, notamment sa vie, son intégrité corporelle, sa liberté ou son patrimoine, cette disposition n’est toutefois applicable que si le bien protégé est plus précieux que le bien lésé ; la subsidiarité est absolue (ATF 129 IV 6 consid. 3.2 p. 14; 122 IV 1 consid. 2b p. 4 et les références citées). Or en l’espèce, en l’absence de danger imminent, rien ne justifiait les manœuvres effectuées, qui n’étaient pas mises en œuvre pour se protéger mais bien plutôt une manifestation d’emportement et de colère, voire en rétorsion aux propos échangés. C’est dès lors à raison que le premier juge l’a reconnu coupable d’infractions aux art. 91 al. 1 et 2 let. a et b, ainsi que 95 LCR.</w:t>
      </w:r>
    </w:p>
    <w:p>
      <w:r>
        <w:rPr>
          <w:b/>
        </w:rPr>
        <w:t>E. 3</w:t>
      </w:r>
    </w:p>
    <w:p>
      <w:r>
        <w:t>3.1.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 Rem. prél. ad art. 34 à 41 CP, n. 5 et 6). À l'aune de l'art. 2 CP, cette réforme du droit des sanctions est en règle générale moins favorable à la personne condamnée (M. DUPUIS / L. MOREILLON / C. PIGUET / S. BERGER / M. MAZOU / V. RODIGARI [éds], op. cit .,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Le nouveau droit est également plus favorable lorsque seule une peine pécuniaire entre en ligne de compte, puisque le quantum de la peine menace est de 180 jours-amende (art. 34 al. 1 CP) et non plus de 360 jours-amende (arrêt du Tribunal fédéral 6B_712/2018 du 18 décembre 2019 c. 3.1).</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3.3</w:t>
      </w:r>
    </w:p>
    <w:p>
      <w:r>
        <w:t>Selon l’art. 52 CP, si la culpabilité de l’auteur et les conséquences de son acte sont peu importantes, l’autorité compétente renonce, notamment, à lui infliger une peine. Si ces conditions cumulatives sont réunies, l’exemption par le juge est de nature impérative. Si elles ne sont réalisées qu’en instance de jugement, un verdict de culpabilité est rendu, mais dépourvu de sanction (ATF 135 IV 130 consid. 5.3.2).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135 IV 130 consid. 5.3.2, 5.3.3 et 5.4 ; arrêt du Tribunal fédéral 6B_718/2020 du 25 novembre 2020 consid. 2.2).</w:t>
      </w:r>
    </w:p>
    <w:p>
      <w:r>
        <w:rPr>
          <w:b/>
        </w:rPr>
        <w:t>E. 3.4</w:t>
      </w:r>
    </w:p>
    <w:p>
      <w:r>
        <w:t>Conformément à l'art. 48 let. c CP, le juge atténue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118 IV 233 consid. 2a p. 236). La colère produite par une provocation injuste ou une offense imméritée ne peut être admise que si ces dernières ont provoqué au plus profond de l'auteur une émotion intense et une réaction psychologique personnelle et spontanée (ATF 104 IV 232 consid. 1c). L'état d'émotion violente doit être rendu excusable par les circonstances (ATF 119 IV 203 consid. 2a p. 204;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107 IV 103 consid. 2b/bb p. 106). Il doit par ailleurs s'agir de circonstances objectives, de sorte qu'il faut se demander si un tiers raisonnable, placé dans la même situation que l'auteur, se serait trouvé dans le même état (ATF 108 IV 99 consid. 3b p. 102; 107 IV 103 consid. 2b/bb p. 106).</w:t>
      </w:r>
    </w:p>
    <w:p>
      <w:r>
        <w:rPr>
          <w:b/>
        </w:rPr>
        <w:t>E. 3.5</w:t>
      </w:r>
    </w:p>
    <w:p>
      <w:r>
        <w:t>Conformément à l’art. 34 CP, la peine pécuniaire est de trois jours-amende au moins et ne peut excéder 180 jours-amende, le juge fixant leur nombre en fonction de la culpabilité de l’auteur (al. 1).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Selon l'art. 42 al. 4 CP, le juge peut prononcer, en plus du sursis, une amende selon l'art. 106 CP. Celle-ci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p. 74 s ; arrêt du Tribunal fédéral 6B_835/2018 du 8 novembre 2018 consid. 3.2). La peine prononcée avec sursis reste prépondérante, alors que l'amende est d'importance secondaire (ATF 134 IV 1 consid. 4.5.2. p. 8). Pour tenir compte du caractère accessoire des peines cumulées, il se justifie en principe d'en fixer la limite supérieure à un cinquième, respectivement à 20 %, de la peine principale. 3.6.1.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 3.6.2.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 En présence d'un concours rétrospectif, le juge doit exposer au moyen de chiffres comment il a fixé la peine qu'il prononce (ATF 142 IV 265 consid. 2.3.3 p. 268 = JdT 2017 IV 129 ; arrêt du Tribunal fédéral 6B_984/2016 du 13 septembre 2017 consid. 3.1.4). 3.7.1. L’appelant principal est reconnu coupable d’injure et de conduite en état d’ébriété. Sa faute n’est pas anodine puisqu’il a agi au mépris de normes protégeant la sécurité publique et par emportement colérique. Il a certes agi initialement en étant mu par un mobile honorable, celui de venir en aide à une jeune femme qui semblait confrontée à une situation de violence. Il ne s’est toutefois pas satisfait de sa fin de non-recevoir et a insisté, manifestement lourdement, tenant des propos qui ont alimenté le conflit. Dans ce contexte, il ne saurait être question de faire application de l’exemption de peine de l’art. 177 al. 2 CP. Ses connaissances d’agent de sécurité auraient dû a fortiori le dissuader d’agir de cette façon. D’ailleurs, sa situation personnelle ne justifie en rien ses comportements, au contraire. Il n’a aucun antécédent judiciaire, ce qui a un effet neutre sur la peine. L’art. 52 CP s’applique si le comportement de l’auteur apparaît négligeable par rapport à d’autres actes tombant sous le coup des mêmes dispositions pénales. Cela ne serait en principe pas le cas en l’espèce, dans la mesure où l’appelant a alimenté le conflit. Cela étant, dans la mesure où l’intérêt à poursuivre a diminué au vu du temps écoulé depuis les faits, l’art. 52 CP trouve application et commande de renoncer à prononcer une peine pour les faits d’injure. En revanche, cette disposition ne trouve pas application s’agissant de la conduite en état d’ébriété, pour laquelle l’intérêt à punir subsiste dans la mesure où il s’impose de donner un signal clair. Non contesté, le type de peine infligé est confirmé. Tenant compte de la faible distance parcourue et des circonstances, une peine de 20 jours-amende paraît adéquate. La situation financière de l’appelant s’étant fortement péjorée depuis les faits, le montant du jour-amende sera ramené au minimum légal de CHF 30.-. L’octroi du sursis lui est acquis (art. 391 al. 2 CPP) ; compte tenu de la durée de la procédure, le délai d’épreuve sera fixé au minimum légal de deux ans. La dégradation de la situation financière de l’appelant et sa perte d’emploi, liée aux faits de la cause, commandent de renoncer au prononcé d’une amende à titre de sanction immédiate. 3.8.2. La culpabilité de l’appelant joint est plus lourde. Il est reconnu coupable d’injure, de menaces et d’infractions multiples en matière de circulation routière. Sa faute est importante, puisqu’il a agi au mépris de la sécurité et de l’intégrité d’autrui, par emportement colérique et pour des motifs futiles. Sa colère semble essentiellement motivée par l’humiliation ressentie du fait de se voir reprocher une gifle donnée à sa passagère ; il se trouve indubitablement à la source de l’altercation et ne saurait par conséquence se prévaloir de la circonstance atténuante de l’émotion violente, son emportement trouvant son origine dans son comportement fautif et non dans une attitude blâmable d’un tiers. Il a contribué à l’aggravation de la situation par des propos menaçants et violents, jusqu’à la manœuvre avec le véhicule, qui aurait pu avoir des conséquences très graves. Il ne saurait être question de faire application de l’exemption de peine de l’art. 177 al. 2 CP puisqu’il a provoqué le début de l’altercation par son comportement inadéquat. Sa situation personnelle ne justifie en rien ses comportements. La condamnation prononcée en 2020 doit conduire la CPAR à prononcer une peine complémentaire au sens de l’art. 49 al. 2 CP. Le complexe de faits le plus grave est indéniablement celui de la présente cause ; la violation grave des règles de la circulation routière, qui a mis concrètement en danger la sécurité de deux piétons est l’infraction la plus importante, qui emporte à elle seule une peine de l’ordre de 120 unités. Cette peine doit être aggravée pour tenir compte de la conduite sous l’influence de l’alcool et des stupéfiants, au sens de l’art. 91 al. 2 let. a LCR et qui conduit à étendre la peine à 160 unités. Cette peine devrait encore être aggravée pour tenir compte des infractions aux art. 95 LCR (peine théorique de 30 unités), 177 CP (peine théorique de 10 unités) et 180 CP (peine théorique de 30 unités). Même en tenant compte du concours rétrospectif avec l’infraction commise en septembre 2020 (peine théorique de 30 unités), cela conduirait la CPAR à une quotité dépassant la sanction prononcée par le premier juge. Compte tenu de l’interdiction de la reformatio in peius (art. 391 al. 2 CPP), applicable en raison du rejet de l’appel principal s’agissant de la qualification des faits reprochés, la peine prononcée par le premier juge devrait en principe être confirmée. Cela étant, dans la mesure où, en application du principe de la lex mitior , la sanction maximale est de 180 jours-amende, la présente peine complémentaire doit être ramenée à 140 jours-amende, afin de ne pas dépasser le maximum légal de l’art. 34 CP. Le montant du jour-amende de CHF 40.- sera également maintenu, même si l’ordonnance pénale prononcée en novembre 2020 avait retenu un montant plus élevé, tout comme l’amende à titre de sanction immédiate, dont le montant sera réduit pour tenir compte du caractère complémentaire de la présente peine. Pour le surplus, le sursis est acquis à l’appelant, étant relevé que la récidive en cours de procédure justifie, nonobstant l’écoulement du temps, de maintenir la durée du délai d’épreuve à trois ans.</w:t>
      </w:r>
    </w:p>
    <w:p>
      <w:r>
        <w:rPr>
          <w:b/>
        </w:rPr>
        <w:t>E. 4</w:t>
      </w:r>
    </w:p>
    <w:p>
      <w:r>
        <w:t>.</w:t>
      </w:r>
    </w:p>
    <w:p>
      <w:r>
        <w:rPr>
          <w:b/>
        </w:rPr>
        <w:t>E. 4.1</w:t>
      </w:r>
    </w:p>
    <w:p>
      <w:r>
        <w:t>L'appel principal est ainsi partiellement admis ; l’appel joint l’est très partiellement, pour des motifs non plaidés et au surplus survenus pendant la procédure d’appel (cf. art. 428 al. 2 let. a CPP). Ce résultat commande que l’appelant principal supporte un quart des frais de la procédure d’appel et l’appelant joint la moitié, le solde étant laissé à la charge de l’Etat (art. 428 CPP).</w:t>
      </w:r>
    </w:p>
    <w:p>
      <w:r>
        <w:rPr>
          <w:b/>
        </w:rPr>
        <w:t>E. 4.2</w:t>
      </w:r>
    </w:p>
    <w:p>
      <w:r>
        <w:t>Aux termes de l'art. 428 al. 3 CPP, si l'autorité de recours rend elle-même une nouvelle décision, elle se prononce également sur les frais fixés par l'autorité inférieure.</w:t>
      </w:r>
    </w:p>
    <w:p>
      <w:r>
        <w:rPr>
          <w:b/>
        </w:rPr>
        <w:t>E. 4.2.1</w:t>
      </w:r>
    </w:p>
    <w:p>
      <w:r>
        <w:t>Le sort des frais de procédure de première instance est régi par les art. 426 et 427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4.2.2</w:t>
      </w:r>
    </w:p>
    <w:p>
      <w:r>
        <w:t>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arrêts 6B_108/2018 précité consid. 3.1; 6B_467/2016 précité consid. 2.3). Cette solution correspond à la volonté du législateur et s'inscrit dans une tendance de fond sur laquelle repose le CPP, consistant, d'une part, à étendre les droits procéduraux de la partie plaignante tout en prévoyant, d'autre part, la possibilité de mettre davantage de frais à sa charge (ATF 138 IV 248 consid. 4.2.3 p. 253 s.). Le juge doit statuer selon les règles du droit et de l'équité (art. 4 CC; ATF 138 IV 248 consid. 4.2.4 p. 254; arrêts 6B_108/2018 précité consid. 3.1; 6B_467/2016 précité consid. 2.5). Les frais de défense d’un prévenu ne peuvent être mis à la charge d’une partie plaignante que lorsque s'est déroulée une procédure complète devant un tribunal, dont la décision est ensuite attaquée exclusivement par la partie plaignante (ATF 141 IV 476 consid. 1.2).</w:t>
      </w:r>
    </w:p>
    <w:p>
      <w:r>
        <w:rPr>
          <w:b/>
        </w:rPr>
        <w:t>E. 4.2.3</w:t>
      </w:r>
    </w:p>
    <w:p>
      <w:r>
        <w:t>En l’espèce, le premier juge a mis deux tiers des frais de la procédure à la charge de l’appelant joint et un tiers à la charge de l’appelant principal. Compte tenu des acquittements prononcés, qui concernent des infractions poursuivies sur plainte et pour lesquelles l’appelant joint a participé activement à la procédure en qualité de partie plaignante, il se justifie de mettre trois-quarts des frais de la procédure préliminaire et de première instance à la charge de l’appelant joint, au titre de sa condamnation et en application de l’art. 427 al. 2 CPP en ce qui concerne les acquittements prononcés. Le solde sera mis à la charge de l’appelant principal à raison de la moitié, du fait de sa condamnation pour une partie des faits reprochés, l’autre moitié étant laissée à celle de l’Etat.</w:t>
      </w:r>
    </w:p>
    <w:p>
      <w:r>
        <w:rPr>
          <w:b/>
        </w:rPr>
        <w:t>E. 5.1</w:t>
      </w:r>
    </w:p>
    <w:p>
      <w:r>
        <w:t>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et les références ; 6B_187/2015 du 28 avril 2015 consid. 6.1.2 ; C. GENTON / C. PERRIER, Les prétentions du prévenu en indemnités et en réparation du tort moral, in Jusletter du 13 février 2012, p. 3, n. 11). Lorsque la procédure est classée en raison de la prescription, il n’y a pas lieu à indemnisation du prévenu s’il a provoqué illicitement et fautivement l'ouverture de la procédure (art. 430 al. let. a CPP ; cf. arrêt du Tribunal fédéral 6B_669/2020 du 4 septembre 2020).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 e éd., Bâle 2014, n. 19 ad art. 429).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La Cour de justice applique un tarif horaire de CHF 450.- au chef d'étude, CHF 350.- pour les collaborateurs et CHF 150.- pour les avocats stagiaires.</w:t>
      </w:r>
    </w:p>
    <w:p>
      <w:r>
        <w:rPr>
          <w:b/>
        </w:rPr>
        <w:t>E. 5.2</w:t>
      </w:r>
    </w:p>
    <w:p>
      <w:r>
        <w:t>La question de l'indemnisation (art. 429 à 434 CPP) doit être traitée après celle des frais (art. 423 à 428 CPP). Dans cette mesure, la décision sur les frais préjuge de la question de l'indemnisation (ATF 144 IV 207 consid. 1.8.2 p. 211; 137 IV 352 consid. 2.4.2 p. 357; arrêt du Tribunal fédéral 6B_248/2019 du 29 mars 2019 consid. 2.1.1 et les références citées).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arrêts du Tribunal fédéral 6B_548/2018 du 18 juillet 2018 consid. 1.1.2 ; 6B_1238/2017 du 12 avril 2018 consid. 2.1 ; 6B_385/2017 du 5 décembre 2017 consid. 2.1).</w:t>
      </w:r>
    </w:p>
    <w:p>
      <w:r>
        <w:rPr>
          <w:b/>
        </w:rPr>
        <w:t>E. 5.3</w:t>
      </w:r>
    </w:p>
    <w:p>
      <w:r>
        <w:t>Conformément à l'art. 432 al. 2 CPP, lorsque le prévenu obtient gain de cause sur la question de sa culpabilité et que l'infraction est poursuivie sur plainte, la partie plaignante peut être tenu d'indemniser le prévenu pour les dépenses occasionnées par l'exercice raisonnable de ses droits de procédure.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arrêts 6B_108/2018 précité consid. 3.1; 6B_467/2016 précité consid. 2.3). Cette règle revêt toutefois un caractère dispositif ; le juge peut donc s'en écarter si la situation le justifie. Il doit statuer selon les règles du droit et de l'équité (art. 4 CC; ATF 138 IV 248 consid. 4.2.4 p. 254; arrêts du Tribunal fédéral 6B_212/2020 du 21 avril 2021 consid. 6.1; 6B_467/2016 précité consid. 2.5). En cas de classement de la procédure ou d'acquittement, l'indemnisation du prévenu est à la charge de l'Etat lorsqu'il s'agit d'une infraction poursuivie d'office mais, en cas d'infraction poursuivie sur plainte, elle est (en principe) à la charge de la partie plaignante. Dans le cadre d'une procédure d'appel concernant une infraction poursuivie sur plainte, la partie plaignante qui, seule, a attaqué la décision, est, en principe, tenue à indemnisation dans la procédure d'appel (ATF 147 IV 47 ).</w:t>
      </w:r>
    </w:p>
    <w:p>
      <w:r>
        <w:rPr>
          <w:b/>
        </w:rPr>
        <w:t>E. 5.4</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op.cit. ,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Les honoraires d'avocat doivent être proportionnés (N. SCHMID, op.cit. , n. 7 ad art. 429) ; le juge dispose d'une marge d'appréciation à cet égard, mais ne devrait pas se montrer trop exigeant dans l'appréciation rétrospective qu'il porte sur les actes nécessaires à la défense du prévenu (M. NIGGLI / M. HEER / H. WIPRÄCHTIGER (éds), op.cit. , n. 19 ad art. 429).</w:t>
      </w:r>
    </w:p>
    <w:p>
      <w:r>
        <w:rPr>
          <w:b/>
        </w:rPr>
        <w:t>E. 5.5</w:t>
      </w:r>
    </w:p>
    <w:p>
      <w:r>
        <w:t>En l’espèce, il convient de distinguer les indemnités de la procédure préliminaire et de première instance de celles pour la procédure d’appel.</w:t>
      </w:r>
    </w:p>
    <w:p>
      <w:r>
        <w:rPr>
          <w:b/>
        </w:rPr>
        <w:t>E. 5.5.1</w:t>
      </w:r>
    </w:p>
    <w:p>
      <w:r>
        <w:t>L’appelant principal est acquitté de deux des trois infractions poursuivies sur plainte pour lesquelles il était renvoyé en jugement ; il a également été acquitté de l’une des infractions poursuivies d’office (LArm) et finalement reconnu coupable d’une infraction poursuivie sur plainte pour laquelle il bénéficie d’une exemption de peine et d’une infraction poursuivie d’office. En sa qualité de partie plaignante, il obtient gain de cause pour l’ensemble des infractions reprochées à l’appelant joint, étant rappelé que la qualification juridique retenue importe peu. Cette situation commande de faire supporter à l’appelant joint la moitié des frais de défense de l’appelant principal pour la procédure préliminaire et de première instance, en application des art. 432 et 433 CPP. Un quart de ces frais sera supporté par l’Etat (art. 429 CPP), et le solde sera supporté par l’appelant, qui est reconnu coupable d’une partie des infractions reprochées (art. 426 CPP) et se verra donc débouté pour le solde de ses prétentions. Ces frais seront arrêtés, ex aequo et bono et au vu de la note d’honoraires présentée, qui apparaît raisonnable au vu de la durée de la procédure et des multiples audiences, à CHF 20'000.- TTC, dont CHF 10'000.- seront mis à la charge de l’appelant joint et CHF 5'000.- au titre de l’art. 429 CPP. L’appelant principal échoue dans son appel en qualité de partie plaignante, pour une infraction poursuivie d’office et doit donc supporter les frais y afférents, mais sans devoir d’indemnité à l’appelant joint (ATF 147 IV 47 ). En revanche, il obtient gain de cause en qualité de prévenu pour une partie des infractions poursuivies sur plainte, étant précisé qu’il a partiellement retiré son appel. Cette situation commande que ses frais de défense soient indemnisés, à hauteur d’un tiers, par l’Etat, et qu’il en supporte le solde. Ces frais seront arrêtés, ex aequo et bono et au vu de la note d’honoraires présentée, qui apparaît raisonnable au vu de la durée réduite de la procédure d’appel et qui n’a pas été contestée, à CHF 6'000.- TTC, dont CHF 2'000.- au titre de l’art. 429 CPP. C’est ainsi une indemnité globale de CHF 7'000.- qui lui sera allouée pour l’ensemble de la procédure. Les montants alloués seront compensés avec les frais de procédure mis à sa charge.</w:t>
      </w:r>
    </w:p>
    <w:p>
      <w:r>
        <w:rPr>
          <w:b/>
        </w:rPr>
        <w:t>E. 5.5.2</w:t>
      </w:r>
    </w:p>
    <w:p>
      <w:r>
        <w:t>L’appelant joint a été reconnu coupable de l’ensemble des infractions reprochées, sous réserve de deux contraventions pour lesquelles il a bénéficié d’un classement en raison de la prescription, étant précisé qu’il ne contestait pas la réalisation des infractions. Il doit donc supporter intégralement ses frais de défense pour la procédure préliminaire et de première instance (art. 426 et 430 al. 1 CPP). Il succombe pour l’essentiel en appel, même s’il obtient gain de cause dans sa défense à l’appel principal et que sa peine est réduite. Cette situation commande que ses frais de défense soient indemnisés, à hauteur d’un dixième, par l’Etat, et qu’il supporte le solde de ses frais de défense, conformément à la répartition des frais. Cela étant, la durée d’activité de son Conseil, même s’il s’est essentiellement agi d’un stagiaire, est manifestement exagérée, étant rappelé que la procédure d’appel est essentiellement orale. Seules 15 heures d’activité seront prises en compte, ce qui conduit à une indemnisation à hauteur de CHF 242.35 (1h30 à CHF 150.- plus TVA à 7.7 % en 17.35).</w:t>
      </w:r>
    </w:p>
    <w:p>
      <w:r>
        <w:rPr>
          <w:b/>
        </w:rPr>
        <w:t>E. 5.5.3</w:t>
      </w:r>
    </w:p>
    <w:p>
      <w:r>
        <w:t>Pour le surplus, les appelants seront déboutés de leurs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