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P/21031/2019 vom 13. Dezember 2021</w:t>
      </w:r>
    </w:p>
    <w:p>
      <w:r>
        <w:t>GE Cour de justice, 2021-12-13, FR</w:t>
      </w:r>
    </w:p>
    <w:p>
      <w:r>
        <w:rPr>
          <w:b/>
        </w:rPr>
        <w:t xml:space="preserve">Quelle: </w:t>
      </w:r>
      <w:r>
        <w:t>https://mcp.opencaselaw.ch/entscheid/ge_gerichte_P_21031_2019</w:t>
      </w:r>
    </w:p>
    <w:p>
      <w:r>
        <w:t>FR: GE_GERICHTE P/21031/2019 du 13 décembre 2021</w:t>
      </w:r>
    </w:p>
    <w:p>
      <w:r>
        <w:t>IT: GE_GERICHTE P/21031/2019 del 13 dicembre 2021</w:t>
      </w:r>
    </w:p>
    <w:p>
      <w:pPr>
        <w:pStyle w:val="Heading2"/>
      </w:pPr>
      <w:r>
        <w:t>Regeste</w:t>
      </w:r>
    </w:p>
    <w:p>
      <w:r>
        <w:t>DISPOSITIONS PÉNALES DE LA LCR;ERREUR SUR LES FAITS(DROIT PÉNAL) | LCR.91.al1.leta; LCR.51.leta; CP.13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91a al. 1 LCR, est punissable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d'investigation de l'état d'incapacité de conduire doit apparaître objectivement comme hautement vraisemblable au vu des circonstances (ATF 142 IV 324 consid. 1.1.1). Selon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 un examen approprié lorsque les indices permettent de conclure qu'ils sont pris de boisson ". Par ailleurs, depuis le 1 er janvier 2008, l'art. 10 al. 1 de l'ordonnance sur le contrôle de la circulation routière (OCCR)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En conséquence, il y a de manière générale lieu de s'attendre à un contrôle de l'alcoolémie à l'alcootest en cas d'accident, sous réserve que celui-ci soit indubitablement imputable à une cause totalement indépendante du conducteur (ATF 142 IV 324 consid. 1.1.2-1.1.3). Linfraction réprimée par lart. 91a LCR est exclusivement punie sous la forme de lintention, y compris sous la forme du dol éventuel, qui se réalise lorsque le conducteur connaissait les faits fondant son obligation davertir la police et la haute vraisemblance de la mesure et que l'omission d'avertir la police, qui était sans autre possible, ne puisse être considérée raisonnablement que comme l'acceptation du risque dune entrave (arrêt du Tribunal fédéral 6B_927/2014 du 16 janvier 2015 consid. 2.1 ; (A. BUSSY/B. RUSCONI et al ., Code suisse de la loi sur la circulation routière commenté , 4ème éd., Bâle 2015, N 4.1 ad art. 91a).</w:t>
      </w:r>
    </w:p>
    <w:p>
      <w:r>
        <w:rPr>
          <w:b/>
        </w:rPr>
        <w:t>E. 2.2</w:t>
      </w:r>
    </w:p>
    <w:p>
      <w:r>
        <w:t>Selon lart. 51 al. 1 LCR, en cas d’accident où sont en cause des véhicules automobiles ou des cycles, toutes les personnes impliquées devront s’arrêter immédiatement. Elles sont tenues d’assurer, dans la mesure du possible, la sécurité de la circulation. Est considéré comme accident, tout événement dommageable qui cause des dommages corporels et/ou des dommages matériels, à lexclusion dune seule mise en danger (A. BUSSY/B. RUSCONI et al ., Code suisse de la loi sur la circulation routière commenté , 4ème éd., Bâle 2015, N 1.2 ad art. 51). Il faut entendre par accident avec dommages corporels, tout accident au cours duquel un humain est blessé ou tué. Une personne est blessée dès lors quelle a subi une atteinte à son intégrité corporelle au sens des art. 122 et 123 CP. Lart. 51 al. 2 LCR ne fait aucune distinction entre latteinte grave ou légère ni entre dommages importants ou de peu dimportance ; même de simples écorchures, éraflures ou contusions ne nécessitant pas de soins médicaux constituent des blessures, à lexclusion toutefois dune atteinte insignifiante sous la forme, par exemple, dune rougeur passagère ( op. cit. , N 2.1 ad art. 51, ATF 122 IV 356 consid 3b = JdT 1997 I 828 ; ATF 95 IV 150 = JdT 1970 I 471). 2.3.1. Aux termes de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Il y a dol éventuel lorsque l'auteur, qui ne veut pas le résultat dommageable pour lui-même, envisage le résultat de son acte comme possible et l'accepte au cas où il se produirait. Le dol éventuel peut aussi être retenu lorsque l'auteur accepte par indifférence que le danger créé se matérialise ; le dol éventuel implique ainsi l'indifférence de l'auteur quant à la réalisation de l'état de fait incriminé. Le dol éventuel ne suppose pas nécessairement que la survenance du résultat soit très probable, mais seulement possible même si cette possibilité ne se réalise que relativement rarement d'un point de vue statistique (ATF 131 IV 1 consid. 2.2 p. 4 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En ce qui concerne la preuve de l'intention,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 125 IV 242 consid. 3c p. 252). 2.3.2.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au sens de l'art. 13 al. 1 CP celui qui n'a pas connaissance ou qui se base sur une appréciation erronée d'un élément constitutif d'une infraction pénale. L'intention délictuelle fait défaut (ATF 129 IV 238 consid. 3.1 p. 240).</w:t>
      </w:r>
    </w:p>
    <w:p>
      <w:r>
        <w:rPr>
          <w:b/>
        </w:rPr>
        <w:t>E. 2.4</w:t>
      </w:r>
    </w:p>
    <w:p>
      <w:r>
        <w:t>En lespèce, il est établi que lintimée a roulé avec son véhicule sur le pied de la plaignante, ce qui a causé une contusion ainsi que des douleurs à cette dernière. Au regard de la jurisprudence, cette blessure est suffisante pour que les faits soient considérés comme un accident, ce qui devait conduire lintimée à subir un contrôle de sa capacité de conduire, au sens de lart. 55 al. 1 LCR, même en l'absence de tout soupçon préalable dincapacité. Les éléments constitutifs objectifs de linfraction à lart. 91a LCR sont dès lors réunis. Linfraction dentrave aux mesures de constatation de lincapacité de conduire nétant pas punissable lorsquelle est commise par négligence, il reste à déterminer si lintimée a envisagé et accepté lidée davoir roulé sur le pied de la plaignante, de manière à lui causer une blessure. A linstar du premier juge, la CPAR retient, au bénéfice du doute, que tel nest pas le cas, lintimée ayant agi sous lemprise dune erreur sur les faits, qui était néanmoins évitable. Celle-ci a expliqué avec constance ne pas avoir cru quelle avait roulé sur le pied de la plaignante, dans la mesure où il lui semblait, dune part, impossible quune telle chose ait pu se produire et, dautre part, avoir compris des circonstances, que cela ne sétait effectivement pas produit. Son allégation selon laquelle elle avait pensé que la plaignante tapait contre la vitre et sur le capot de son véhicule car elle était fâchée à propos du geste quelle lui avait adressé au préalable, paraît crédible. Le haussement dépaules relaté par C______ peut dailleurs sexpliquer dans ce contexte, de même que la phrase entendue par le témoin, selon laquelle la plaignante navait pas à être là. Il est, certes, surprenant que lintimée ne se soit pas, par la suite, rendu compte de la situation, notamment après lintervention du témoin D______. Il nest toutefois pas insoutenable de considérer quelle ait pu ne pas comprendre les événements, étant précisé que le témoin a justement indiqué quelle semblait ne pas comprendre la situation, à tel point quil sétait demandé si elle parlait bien français ou si elle avait peur de lui. Lintimée était effectivement consciente davoir décollé son pied de la pédale de frein, mettant son véhicule en mouvement, puis davoir reculé suite à lintervention du témoin. Cela ne signifie pas encore quelle aurait compris les conséquences de cette action, ni ne les aurait acceptées, étant rappelé quelle était persuadée que laltercation qui sen est suivie était due au geste quelle avait adressé à la motocycliste. Il est également établi par les déclarations de lensemble des protagonistes, quaprès avoir pu dégager son pied de la roue, la plaignante a été en mesure de garer son véhicule sur le trottoir avant de faire le tour de la voiture de lintimée pour prendre des photos, sans rencontrer de difficulté à se mouvoir, lintimée ayant indiqué à plusieurs reprises quelle " gambadait comme un lapin ". Dans ces conditions, il ne paraît pas invraisemblable que celle-ci ait pensé, de bonne foi, quelle navait pas pu rouler sur le pied de la plaignante, étant relevé quun tel accident est, en général, de nature à causer de graves blessures. Le fait quelle soit restée sur place quelques minutes pour sassurer, selon ses déclarations, que " tout allait bien " renforce par ailleurs sa crédibilité. Au vu des circonstances, il ne saurait, en tout état de cause, être retenu que lintimée était consciente davoir causé une quelconque blessure à la plaignante, fondant son obligation davertir la police et de se soumettre à un contrôle de sa capacité de conduire. Lintéressée a allégué de manière crédible quelle serait immédiatement sortie de son véhicule et aurait appelé les secours si elle avait imaginé que la plaignante avait pu être blessée. Elle a également pris contact avec cette dernière directement après son audition à la police. Le Ministère public semble dailleurs avoir lui-même adhéré à cette thèse, dans la mesure où il a retenu la commission dune infraction à lart. 92 al. 1 LCR (violation des obligations en cas daccident) dans son ordonnance pénale du 23 septembre 2020, et non le délit au sens de lal. 2, qui aurait pourtant dû être envisagé en cas de blessure. Il ne saurait enfin rien être tiré de lallégation de lintimée selon laquelle le cas aurait pu être réglé via les assurances, dans la mesure où cet élément a été exposé en cours de procédure, soit après quelle ait été mise au courant de laccident. Rien ne démontre ainsi quelle aurait envisagé, au moment des faits, que le litige devait être réglé entre assurances. Il en va de même de son allégation, en procédure, selon laquelle elle ne considérait pas les faits comme un accident. Quand bien même lintimée a été mise au courant de laccident par le témoin, la CPAR a acquis la conviction que celle-ci nétait pas consciente davoir roulé sur le pied de la plaignante et de lui avoir causé une blessure et na ainsi, ni envisagé ni accepté le risque de se dérober à une mesure de constatation de lincapacité de conduire, se trouvant sous lemprise dune erreur sur les faits. Ladite erreur était, certes, évitable au regard des circonstances et notamment de lintervention du témoin. La CPAR relève, à ce titre, que le comportement de lintimée consistant à simplement continuer sa route, sans jamais prendre langue avec la plaignante, nest pas admissible. La dérobade au sens de lart. 91a LCR nétant pas punissable par négligence, celle-ci se verra cependant acquittée de cette infraction, le jugement de première instance étant confirmé sur ce point.</w:t>
      </w:r>
    </w:p>
    <w:p>
      <w:r>
        <w:rPr>
          <w:b/>
        </w:rPr>
        <w:t>E. 3.1</w:t>
      </w:r>
    </w:p>
    <w:p>
      <w:r>
        <w:t>Les infractions aux art. 90 al. 1 et 92 al. 1 LCR sont passibles dune amende.</w:t>
      </w:r>
    </w:p>
    <w:p>
      <w:r>
        <w:rPr>
          <w:b/>
        </w:rPr>
        <w:t>E. 3.2</w:t>
      </w:r>
    </w:p>
    <w:p>
      <w:r>
        <w:t>Selon l'art. 106 CP, sauf disposition contraire de la loi, le montant maximum de l’amende est de CHF 10000 francs.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3.3</w:t>
      </w:r>
    </w:p>
    <w:p>
      <w:r>
        <w:t>La faute commise nest pas négligeable. Lintimée a perdu la maîtrise de son véhicule, ce qui la conduite à blesser une cyclomotoriste. Elle a en outre violé par négligence ses devoirs en cas daccident. Sa collaboration a été moyenne. Elle a contesté avoir commis une infraction, mais a néanmoins, dans lensemble, reconnu les faits, même si elle a parfois cherché à les minimiser, sétonnant quune telle affaire occupe la justice. Sa prise de conscience semble amorcée. Il ne ressort pas de ses déclarations quelle se serait excusée auprès de la plaignante. Elle a cependant allégué avoir pris contact avec elle après les faits. Son absence d’antécédent constitue un facteur neutre du point de vue de la peine. Le verdict dacquittement pour linfraction à lart. 91a LCR étant confirmé, il ne se justifie pas de condamner lintimée à une peine pécuniaire, ni à une amende supplémentaire à titre de sanction immédiate (art. 42 al. 4 CP). Le montant de CHF 600.- d’amende retenu par le TP sera par ailleurs confirmé pour les infractions aux art. 90 al. 1 et 92 al. 1 LCR, qui entrent en concours. Cette peine ne souffre aucune critique, étant adaptée, tant à la gravité de la faute, quà la situation financière peu favorable de lintimée. La peine privative de liberté de substitution de six jours sera également confirmée, l’appel du MP étant intégralement rejeté.</w:t>
      </w:r>
    </w:p>
    <w:p>
      <w:r>
        <w:rPr>
          <w:b/>
        </w:rPr>
        <w:t>E. 4</w:t>
      </w:r>
    </w:p>
    <w:p>
      <w:r>
        <w:t>Lappel étant rejeté, les frais judiciaires pour la procédure dappel, comprenant un émolument de CHF 1500.-, seront laissés à la charge de lEtat (art. 428 CPP).</w:t>
      </w:r>
    </w:p>
    <w:p>
      <w:r>
        <w:rPr>
          <w:b/>
        </w:rPr>
        <w:t>E. 5.1</w:t>
      </w:r>
    </w:p>
    <w:p>
      <w:r>
        <w:t>Selon lart. 436 al. 1 CPP, les prétentions en indemnité et en réparation du tort moral dans la procédure de recours sont régies par les art. 429 à 434. Si ni un acquittement total ou partiel, ni un classement de la procédure ne sont prononcés mais que le prévenu obtient gain de cause sur dautres points, il a droit à une juste indemnité pour ses dépenses (al. 2).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En revanche, si l'Etat supporte les frais de la procédure pénale, le prévenu a en principe droit à une indemnité selon l'art. 429 CPP. Dans ce cas, il ne peut être dérogé au principe du droit à l'indemnisation qu'à titre exceptionnel (ATF 137 IV 352 consid. 2.4.2 ; arrêt du Tribunal fédéral 6B_1258/2018 du 24 janvier 2019 consid. 3.1.).</w:t>
      </w:r>
    </w:p>
    <w:p>
      <w:r>
        <w:rPr>
          <w:b/>
        </w:rPr>
        <w:t>E. 5.2</w:t>
      </w:r>
    </w:p>
    <w:p>
      <w:r>
        <w:t>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La Cour de justice retient en principe un tarif horaire entre CHF 400.- et CHF 450.- pour un chef d'étude (arrêt du Tribunal fédéral 2C_725/2010 du 31 octobre 2011 consid. 3 et 2C_25/2008 du 18 juin 2008 consid. 3). En cas d'assujettissement, l'équivalent de la TVA est versé en sus. 5.3.1. En loccurrence, l'état de frais produit par M e B______, défenseur de A______, apparaît adéquat, sous réserve du temps consacré à la rédaction du mémoire de réponse, qui sera réduit à quatre heures (recherches juridiques comprises) qui paraissent suffisantes pour la rédaction dun acte comprenant seulement six pages de discussion juridique, étant au surplus relevé que la cause était relativement peu complexe. En conclusion, l'indemnité due à A______ pour les dépenses occasionnées par la procédure d'appel (art. 429 CPP) sera arrêtée à CHF 2504.05, correspondant à cinq heures et 10 minutes d'activité au tarif de CHF 450.-/heure, TVA à 7.7% incluse. Conformément à l'art. 442 al. 4 CPP, cette indemnité sera compensée, à due concurrence, avec la part des frais de procédure de première instance mise à sa charge (ATF 143 IV 293 consid. 1). 5.3.2. Le premier jugement étant confirmé, il ne se justifie pas de revoir lindemnité accordée à lintimée pour les dépenses occasionnées par la procédure de première instance, qui paraît au demeurant adéquate.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