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P/21012/2017 vom 21. Dezember 2020</w:t>
      </w:r>
    </w:p>
    <w:p>
      <w:r>
        <w:t>GE Cour de justice, 2020-12-21, FR</w:t>
      </w:r>
    </w:p>
    <w:p>
      <w:r>
        <w:rPr>
          <w:b/>
        </w:rPr>
        <w:t xml:space="preserve">Quelle: </w:t>
      </w:r>
      <w:r>
        <w:t>https://mcp.opencaselaw.ch/entscheid/ge_gerichte_P_21012_2017</w:t>
      </w:r>
    </w:p>
    <w:p>
      <w:r>
        <w:t>FR: GE_GERICHTE P/21012/2017 du 21 décembre 2020</w:t>
      </w:r>
    </w:p>
    <w:p>
      <w:r>
        <w:t>IT: GE_GERICHTE P/21012/2017 del 21 dicembre 2020</w:t>
      </w:r>
    </w:p>
    <w:p>
      <w:pPr>
        <w:pStyle w:val="Heading2"/>
      </w:pPr>
      <w:r>
        <w:t>Regeste</w:t>
      </w:r>
    </w:p>
    <w:p>
      <w:r>
        <w:t>CLASSEMENT DE LA PROCÉDURE;ABUS D'AUTORITÉ;POLICE | CPP.318; CPP.319; CPP.200; CP.14; CP.312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a CPP), a qualité pour agir, ayant un intérêt juridiquement protégé à la modification ou à l'annulation de la décision querellée (art. 382 al. 1 CPP).</w:t>
      </w:r>
    </w:p>
    <w:p>
      <w:r>
        <w:rPr>
          <w:b/>
        </w:rPr>
        <w:t>E. 1.2</w:t>
      </w:r>
    </w:p>
    <w:p>
      <w:r>
        <w:t>Le recours de A______ est irrecevable s'agissant de la taxation de son conseil gratuit (cf. ACPR/79/2021 du 5 février 2021, consid. 2.2. et les références citées).</w:t>
      </w:r>
    </w:p>
    <w:p>
      <w:r>
        <w:rPr>
          <w:b/>
        </w:rPr>
        <w:t>E. 2</w:t>
      </w:r>
    </w:p>
    <w:p>
      <w:r>
        <w:t>La recourante se plaint de la violation de l'art. 318 CPP, s'agissant du refus des réquisitions de preuve formulées et de ce qu'aucun avis de prochaine clôture de l'instruction ne lui avait été notifié.</w:t>
      </w:r>
    </w:p>
    <w:p>
      <w:r>
        <w:rPr>
          <w:b/>
        </w:rPr>
        <w:t>E. 2.1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 Dans le cas d'un classement, du fait que la partie plaignante peut, dans le cadre d'un recours contre cette décision, proposer à nouveau des preuves susceptibles de démontrer la culpabilité du prévenu, il n'y a pas d'atteinte à ses droits (A. KUHN / Y. JEANNERET (éds), Commentaire romand: Code de procédure pénale suisse , Bâle 2011, n. 19 ad art. 318).</w:t>
      </w:r>
    </w:p>
    <w:p>
      <w:r>
        <w:rPr>
          <w:b/>
        </w:rPr>
        <w:t>E. 2.2</w:t>
      </w:r>
    </w:p>
    <w:p>
      <w:r>
        <w:t>En l'espèce, le Ministère public était habilité à rejeter la requête en complément de preuves présentée par la recourante, car, ainsi qu'il l'a exposé, d'une part l'audition de la Dresse E______ n'aurait rien apporté d'autre que la confirmation de ce qu'elle avait attesté, la question de savoir si les lésions constatées pouvaient être la conséquence des faits décrits par la recourante n'étant pas propres à entrainer une conviction et, d'autre part, un transport sur place n'était pas nécessaire, la position exacte des protagonistes durant les faits n'étant pas déterminante. Au surplus, ceux-ci étaient en mouvement, dans une certaine pénombre, et chacun était occupé à des tâches différentes de sorte qu'il est illusoire de prétendre que les endroits de chaque moment ayant précédé et suivi l'interpellation de la recourante pourraient être fixés avec précision. Enfin, les premiers procès-verbaux pris immédiatement après les faits étaient succincts et concernaient principalement le dépôt de plainte par les gendarmes. Ils ne sont donc pas pertinents au regard des faits concernant la présente procédure et n'ont d'ailleurs pas été pris en compte pour la motivation de la décision querellée. L'audition des gendarmes ayant protocolé ces procès-verbaux est par conséquent inutile. Au surplus, c'est en vain que la recourante se plaint de n'avoir " reçu " aucun avis de prochaine clôture de l'instruction, puisqu'elle a dûment répondu à celui du 8 janvier 2019. Elle a sollicité des actes d'enquêtes, auxquels le Ministère public a en partie fait droit. Le Procureur général n'avait pas à procéder à la notification d'un nouvel avis avant l'envoi de l'ordonnance de classement puisqu'il a maintenu son intention de classer ( ACPR/340/2020 du 26 mai 2020, consid. 4.2.).</w:t>
      </w:r>
    </w:p>
    <w:p>
      <w:r>
        <w:rPr>
          <w:b/>
        </w:rPr>
        <w:t>E. 3</w:t>
      </w:r>
    </w:p>
    <w:p>
      <w:r>
        <w:t>La recourante soutient que les conditions d'un classement n'étaient pas remplies, la probabilité d'une condamnation ne pouvant être écartée. 3.1.1.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3.1.2.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 in dubio pro duriore" , ce n'est que lorsque la situation probatoire n'est pas claire qu'il est interdit au ministère public d'anticiper l'administration des preuves que ferait le juge du fond (ATF 143 IV 241 consid. 2.2.1, 2.2.2 et 2.3 = JdT 2017 IV 357). 3.2.1.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 vol. I, 3ème éd., Berne 2010, n. 16 ad art. 123 CP). L'infraction est intentionnelle, cette intention devant porter sur tous les éléments constitutifs de l'infraction, le dol éventuel étant toutefois suffisant (ATF 119 IV 1 consid. 5a; ATF 103 IV 65 consid. 1.2). 3.2.2.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13 ). 3.2.3.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3.2.4.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CPP al. 1,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Commentaire romand : Code de procédure pénale suisse , 2 ème éd. Bâle 2019, nos. 2 et 3 ad art. 200). 3.2.5.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w:t>
      </w:r>
    </w:p>
    <w:p>
      <w:r>
        <w:rPr>
          <w:b/>
        </w:rPr>
        <w:t>E. 3.3</w:t>
      </w:r>
    </w:p>
    <w:p>
      <w:r>
        <w:t>En l'espèce, la recourante a présenté une plaie superficielle de l'arcade sourcilière droite de 3 mm environ avec dermabrasion sous-orbitaire, une dermabrasion du coude avec limitation de l'extension et douleurs à la palpation et à la pro-supination, une douleur à la palpation de la face postérieure de l'épaule gauche et une vision monoculaire floue de l'oeil droit, à la suite de son interpellation. Ces blessures sont établies par la documentation médicale produite et constituent des lésions corporelles simples (art. 123 CP). Elle soutient avoir conservé des lésions à l'oreille et l'oeil droits. Si la recourante soutient avoir reçu deux gifles sur la tête, le mis en cause en admet une, de déstabilisation, ce que les témoins présents n'ont soit pas vu soit ne démentent pas. Il n'est par ailleurs pas établi que ces blessures seraient directement la conséquence du coup reçu, le policier ayant constamment allégué avoir porté une seule gifle de sa main droite sur la joue gauche de la recourante et les dermabrasions pouvant tout aussi bien résulter du frottement de la recourante au sol lorsqu'elle se débattait vigoureusement. Une fois au sol, le policier a menotté la recourante. Son intervention s'est ainsi limitée à la neutralisation d'un individu qui s'opposait au travail de la police. Elle est survenue après que le policier avait demandé à la recourante de s'écarter et de laisser ses collègues effectuer leur travail. Or, la recourante n'a pas obtempéré auxdites injonctions et il ne peut ainsi être reproché au gendarme d'avoir procédé à son interpellation. Il résulte de ce qui précède que le mis en cause n'a commis aucun abus d'autorité et que les lésions corporelles ont été provoquées de manière non intentionnelle et dans le cadre de mesures licites et proportionnées. Les actes autorisés par la loi n'étant pas punissables (art. 14 CP), il n'existe ainsi pas de prévention pénale suffisante s'agissant des infractions de lésions corporelles - intentionnelles ou par négligence -, de voies de fait, ni d'abus d'autorité. Justifiée, l'ordonnance querellée sera donc confirmée.</w:t>
      </w:r>
    </w:p>
    <w:p>
      <w:r>
        <w:rPr>
          <w:b/>
        </w:rPr>
        <w:t>E. 4</w:t>
      </w:r>
    </w:p>
    <w:p>
      <w:r>
        <w:t>Les frais de la procédure de recours resteront à la charge de l'État (art. 20 RAJ ; arrêt du Tribunal fédéral 6B_215/2018 du 14 juin 2018 consid. 1.2).</w:t>
      </w:r>
    </w:p>
    <w:p>
      <w:r>
        <w:rPr>
          <w:b/>
        </w:rPr>
        <w:t>E. 5</w:t>
      </w:r>
    </w:p>
    <w:p>
      <w:r>
        <w:t>La recourante, assistée d'un avocat, a demandé l'octroi de l'assistance judiciaire pour la procédure de recours. Dès lors que l'examen des conditions des dispositions légales auquel il a été procédé ci-dessus a nécessité une appréciation circonstanciée, on ne peut considérer que le recours était en lui-même dénué de toutes chances de succès ni, surtout, que l'assistance d'un conseil n'était pas rendue nécessaire vu les particularités de la cause. La recourante a demandé une indemnité pour ses frais de défense dans la procédure de recours (art. 433 al. 1 let. a CPP). Selon l'art. 16 al. 1 RAJ, l'indemnité due au défenseur d'office en matière pénale est calculée selon le tarif horaire pour un chef d'étude à CHF 200.- (let. c), la TVA étant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Du détail des activités de son avocat, il ressort que 13 heures auraient été consacrées à la préparation du recours, soit une durée manifestement excessive. L'écriture de recours reprend les faits, ce qui ne nécessite guère de temps et présente de nombreuses citations, issues de banques de données, ce qui ne prend pas plus de temps, et quelques considérations nécessaires à la résolution des questions topiques. En conséquence, 6 heures d'activité, au tarif horaire de CHF 200.-, auraient été en adéquation avec le travail nécessaire à accomplir. La rémunération sera en conséquence arrêtée à CHF 1'292.40, TVA au taux de 7.7% [CHF 92.40]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