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P/20958/2021 vom 14. März 2023</w:t>
      </w:r>
    </w:p>
    <w:p>
      <w:r>
        <w:t>GE Cour de justice, 2023-03-14, FR</w:t>
      </w:r>
    </w:p>
    <w:p>
      <w:r>
        <w:rPr>
          <w:b/>
        </w:rPr>
        <w:t xml:space="preserve">Quelle: </w:t>
      </w:r>
      <w:r>
        <w:t>https://mcp.opencaselaw.ch/entscheid/ge_gerichte_P_20958_2021</w:t>
      </w:r>
    </w:p>
    <w:p>
      <w:r>
        <w:t>FR: GE_GERICHTE P/20958/2021 du 14 mars 2023</w:t>
      </w:r>
    </w:p>
    <w:p>
      <w:r>
        <w:t>IT: GE_GERICHTE P/20958/2021 del 14 marzo 2023</w:t>
      </w:r>
    </w:p>
    <w:p>
      <w:pPr>
        <w:pStyle w:val="Heading2"/>
      </w:pPr>
      <w:r>
        <w:t>Regeste</w:t>
      </w:r>
    </w:p>
    <w:p>
      <w:r>
        <w:t>COMMERCE DE STUPÉFIANTS;CAS GRAVE;ENTRÉE ILLÉGALE;SÉJOUR ILLÉGAL;EXPULSION(DROIT PÉNAL);RÈGLEMENT (CE) 1987/2006 | LStup.19.al1; LStup.19.al2; LEI.115; CP.66a.al1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2.2.1. Selon l'art. 19. al. 1 let. b LStup, est puni d'une peine privative de liberté de trois ans au plus ou d'une peine pécuniaire celui qui, sans droit, entrepose, expédie, transporte, importe, exporte des stupéfiants ou les passe en transit. Cette disposition vise tous les actes caractéristiques du commerce, qui interviennent avant la vente proprement dite. Elle réprime notamment l'importation, qui est un cas de transport qui se caractérise par le fait que la drogue est introduite en Suisse en provenance d'un pays étranger (B. CORBOZ, Les infractions en droit suisse, Volume II , 3 ème éd., Berne 2010, n. 24 et 30 ad art. 19). La LStup érige en infraction indépendante des actes de soutien qui, pour d'autres infractions, ne seraient que des cas de participation à l'infraction principale ; dans toutes ces hypothèses, il faut simplement considérer que l'accusé est l'auteur de l'infraction (ATF 119 IV 268 consid. 3a). Il importe peu qu'il n'ait été qu'un personnage secondaire dans l'organisation, qu'il se soit borné à obéir à un ordre ou qu'il n'ait pas agi dans son intérêt personnel ou de sa propre initiative (ATF 133 IV 194 consid. 3.3 ; 106 IV 73 consid. b). 2.2.2. L'art. 19 al. 2 let. a LStup érige en circonstance aggravante le fait que l'auteur ait su ou n'ait pu ignorer que son acte pouvait directement ou indirectement mettre en danger la santé de nombreuses personnes. Tel est notamment le cas lorsque la quantité en cause est d'au moins 18 grammes de cocaïne pure (ATF 138 IV 100 consid. 3.2 ; 109 IV 143 consid. 3b). 2.3.1. En l'espèce, l'appelant ne conteste pas, à juste titre, sa culpabilité, dûment établie par les éléments du dossier, en relation avec les infractions à l'art. 19 al. 1 let. d LStup, soit la détention de 2 grammes brut et de 56.3 grammes brut de cocaïne, et avec celles à l'art. 115 al. 1 let. a et b LEI. 2.3.2. À suivre l'appelant, ce n'était pas lui qui avait appelé, depuis son téléphone portable, et s'était entretenu avec D______ le 29 septembre 2021. Or, comme l'ont relevé les premiers juges, il est peu probable qu'il ait prêté son téléphone à un tiers sans parvenir à se rappeler son identité – l'emprunteur aurait passé quatre appels à ses côtés durant près d'une demie heure – ni le contexte, alors qu'il ressort des écoutes que l'interlocuteur de la précitée cherchait à la localiser aux abords de la gare F______ et à la rejoindre. Même après avoir écouté les conversations litigieuses, il s'est montré incapable d'identifier, seulement six mois plus tard, ce prétendu " ami ". Le prévenu s'exprime, par ailleurs, en anglais et a admis qu'il parlait l'igbo, soit deux des trois langues employées dans les deux discussions des protagonistes. Au vu de leur absence de crédibilité, les déclarations de l'appelant seront écartées, étant rappelé qu'il a admis être actif dans le trafic de stupéfiants (voir supra ch. 2.3.1) et qu'il a un antécédent spécifique à l'étranger (voir supra let. D). Il sera retenu que c'est bien lui, en tant que détenteur du raccordement +411______, qui a téléphoné à D______ le 29 septembre 2021. 2.3.3. Alors que l'appelant tentait une quatrième fois de joindre D______, vraisemblablement car il ne parvenait pas à la repérer, elle a été arrêtée par les forces de l'ordre en possession de près de 400 grammes net de cocaïne, destinée à lui être remise. Selon son récit, elle devait en effet donner la drogue à l'individu qui la contacterait à son arrivée à Genève, ce dernier devant la rémunérer en contrepartie. Elle devait ainsi attendre les directives du prévenu avant de repartir, ce qui explique le contenu de leurs conversations. Il résulte des éléments du dossier un faisceau d'indices suffisamment fort pour que les faits dénoncés par D______, et repris dans l'acte d'accusation, soient retenus. 2.3.4. Partant, l'appelant a commis une infraction à l'art. 19 al. 1 let. b LStup en prenant activement part à l'importation en Suisse de la drogue. Le cas grave, au sens de l'art. 19 al. 2 let. a LStup, est réalisé, puisque le transport a impliqué une quantité a minima de plus de 290 grammes de cocaïne pure, soit un poids supérieur à la limite de 18 grammes fixée à cet égard par la jurisprudence (voir supra ch. 2.2.2), sans même tenir compte des 58.3 grammes brut de cocaïne susmentionnés (voir supra ch. 2.3.1).</w:t>
      </w:r>
    </w:p>
    <w:p>
      <w:r>
        <w:rPr>
          <w:b/>
        </w:rPr>
        <w:t>E. 3</w:t>
      </w:r>
    </w:p>
    <w:p>
      <w:r>
        <w:t>3.1. L'art. 115 al. 1 LEI prévoit une peine privative de liberté d'un an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 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 que la dernière condamnation est ancienne et que l'auteur a adopté un bon comportement depuis (ATF 135 IV 87 consid. 2 p. 89 ; 123 IV 49 consid. 1.d p. 52). 3.2.2. En matière de trafic de stupéfiants, la jurisprudence a dégagé les précisions suivantes (ATF 127 IV 101 )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3.2.3.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3.2.4. Selon l'art. 43 CP, le juge peut suspendre partiellement l'exécution d’une peine privative de liberté d’un an au moins et de trois ans au plus afin de tenir compte de façon appropriée de la faute de l'auteur. Les conditions permettant l'octroi du sursis au sens de l'art. 42 CP valent également pour le sursis partiel prévu à l'art. 43 CP. Ainsi,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op. cit. , n. 96 ad art. 42). 3.3.1. En l'espèce, la faute de l'appelant est importante. Le trafic a porté sur des quantités de cocaïne particulièrement élevées de plusieurs centaines de grammes, d'un taux de pureté extrêmement élevé, soit pour une partie de la drogue saisie jusqu'à 82.7%, ceci sur une brève période d'environ un mois. L'appelant a ainsi mis en danger la vie de nombreuses personnes. Seule l'arrestation du prévenu a mis fin à son activité illicite, ce qui relativise la portée de cette période pénale. Il occupait indubitablement une position hiérarchique relativement importante d'intermédiaire, puisqu'il participait à l'importation, réceptionnait, stockait et détenait la drogue destinée à la vente. Son mobile est égoïste, le prévenu ayant agi par seul appât du gain, au mépris de la santé des consommateurs. Au vu de la condamnation prononcée en 2020 en Autriche à une peine privative de liberté de 21 mois, assortie du sursis partiel, pour des faits semblables, l'appelant ne remplit manifestement pas la condition de l'art. 42 al. 2 CP. Aucune circonstance particulièrement favorable ne justifie de le mettre au bénéfice du sursis. Le pronostic quant à son comportement futur est défavorable, il n'évoque aucun projet d'avenir concret et son bon comportement en prison, lequel est attendu de tout détenu, ne saurait être suffisant pour renverser ce pronostic. Sa situation personnelle, fût-elle précaire, ne justifie en rien les actes commis. Sa collaboration à la procédure a été mauvaise, car les seuls faits admis sont ceux où il a été confronté aux preuves matérielles à ce point incriminantes qu'elles vainent toute velléité de s'en abstraire. Il continue de contester sa participation dans le transport de drogue opéré par D______ et ce, malgré l'existence d'un faisceau d'indices concordants attestant de sa culpabilité. Il s'est évertué à nier l'évidence, en particulier à ne pas reconnaître sa propre voix dans le cadre des écoutes téléphoniques. Il ne peut donc se prévaloir d'aucune prise de conscience de la gravité de ses actes. Il y a également lieu de tenir compte de son antécédent spécifique discuté précédemment. Aucune circonstance atténuante n'est réalisée ni, à juste titre, plaidée. Il y a concours d'infractions, ce qui constitue un facteur aggravant. 3.3.2. Compte tenu de la gravité des faits, seule une peine privative de liberté entre en considération. L'infraction la plus grave est le trafic de stupéfiants, étant relevé que les différents comportements réprimés forment un tout, qui doit être sanctionné comme une seule infraction. La CPAR retient qu'une peine de base de 36 mois est adéquate. Compte tenu de l'interdiction de la reformatio in pejus (art. 391 al. 2 CPP), il n'y a dès lors pas lieu de fixer une peine complémentaire pour les infractions à la LEI. 3.3.3. La peine privative de liberté de trois ans, arrêtée par les premiers juges sera ainsi confirmée et l'appel rejeté.</w:t>
      </w:r>
    </w:p>
    <w:p>
      <w:r>
        <w:rPr>
          <w:b/>
        </w:rPr>
        <w:t>E. 4</w:t>
      </w:r>
    </w:p>
    <w:p>
      <w:r>
        <w:t>4.1.1. À teneur de l'art. 66a al. 1 let. o CP, le juge expulse de Suisse, pour une durée de cinq à quinze ans, l'étranger qui est condamné pour infraction à l'art. 19 al. 2 LStup. Il peut exceptionnellement renoncer à cette expulsion lorsque celle-ci mettrait l'étranger dans une situation personnelle grave et que les intérêts publics à l'expulsion ne l'emportent pas sur l'intérêt privé de l'étranger à demeurer en Suisse (art. 66a al. 2 CP).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(arrêts du Tribunal fédéral 6B_396/2022 du 20 décembre 2022 consid. 6.4 ; 6B_257/2022 du 16 novembre 2022 consid. 3.3 ; 6B_215/2021 du 17 janvier 2022 consid. 5.4). 4.1.2.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l'arrêt du Tribunal fédéral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Vu le contenu similaire entre les deux actes, la jurisprudence découlant du premier s'applique au second. D'après le Tribunal fédéral,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 4.2.1. En l'espèce, la condamnation de l'appelant pour infraction grave à la LStup entraîne son expulsion obligatoire de Suisse pour une durée minimale de cinq ans, sauf application de la clause de rigueur. L'appelant s'oppose à son expulsion au motif que sa prétendue amie intime et leur enfant, qu'il n'a jamais vu et avec lequel il n'a donc tissé aucun lien, vivraient en Suisse. Hormis qu'ils ne sont aucunement étayés, H______ ayant seulement évoqué l'existence d'une compagne à G______, ces éléments ne sont pas suffisants pour justifier l'application de la clause de rigueur. En effet, l'appelant, arrivé illicitement en Suisse à peine deux mois avant son interpellation, n'a bien évidemment pas eu le temps de s'y intégrer, même s'il apprend le français en prison. Ainsi, en raison de ses agissements et de son antécédent étranger, son intérêt personnel à demeurer sur le territoire helvétique pour y entretenir des relations personnelles avec son hypothétique enfant, n'est pas prépondérant face à l'intérêt public manifeste à son expulsion. En outre, son retour au Nigéria ne lui poserait aucun problème, dès lors qu'il est encore jeune et qu'il a quitté son pays d'origine, où il a travaillé comme chauffeur de camion, il y a seulement environ six ans. La mesure querellée ne le placerait dès lors pas dans une situation personnelle grave. L'expulsion litigieuse sera dès lors confirmée. 4.2.2. L’appelant se prévaut d’une demande d’asile formée en Espagne pour s’opposer à l'inscription au SIS, de sorte qu'il convient d'examiner si celle-ci est proportionnée. Il n'étaye ni les motifs invoqués à l'appui de cette demande ni la réalité de la demande elle-même. En tout état, même si l'inscription mettrait probablement à néant ses chances d'obtenir l'asile, les autorités espagnoles pourraient autoriser l'appelant à entrer et rester sur son territoire pour des motifs humanitaire ou d'intérêt national ou en raisons d'obligations internationales en dérogation de l'interdiction d'entrée ( cf. art. 6 al. 5 let. c du code frontières Schengen), de sorte que son intérêt privé ne paraît pas, en définitive, foncièrement entravé par une inscription au registre SIS. À l'opposé, l'intérêt public est fort à l'inscription de son expulsion au registre SIS. La présence de l'appelant, ressortissant d'un pays tiers, sur le territoire d'un État membre constitue une menace pour l'ordre et la sécurité publics. Il a été condamné à une peine privative de liberté de trois ans, ce qui dépasse la peine-plancher prévue dans le règlement européen comme critère pour déterminer si sa présence en Suisse constitue une telle menace, et a un antécédent perpétré en 2020 dans l'espace Schengen. Ainsi, aucun élément à la procédure ne permet de considérer que la mesure prise est disproportionnée. Partant, l'inscription au registre SIS ordonnée par le TCO sera confirmée et l'expulsion étendue à l'ensemble de l'espace Schengen. L'appel sera rejeté.</w:t>
      </w:r>
    </w:p>
    <w:p>
      <w:r>
        <w:rPr>
          <w:b/>
        </w:rPr>
        <w:t>E. 5.1</w:t>
      </w:r>
    </w:p>
    <w:p>
      <w:r>
        <w:t>L'appelant, qui succombe, hormis sur un point mineur (voir infra ch. 5.2.), supportera les frais de la procédure d'appel (art. 428 CPP), y compris un émolument d'arrêt de CHF 1'800.-.</w:t>
      </w:r>
    </w:p>
    <w:p>
      <w:r>
        <w:rPr>
          <w:b/>
        </w:rPr>
        <w:t>E. 5.2</w:t>
      </w:r>
    </w:p>
    <w:p>
      <w:r>
        <w:t>Compte tenu du verdict de culpabilité, il n'y a pas lieu de revoir la répartition des frais de première instance, hormis ceux de CHF 92.- liés à la traduction d'un casier judiciaire du grec vers le français (pièce Z – 423), qui seront retranchés, dès lors qu'ils ne concernent, de toute évidence, pas le prévenu.</w:t>
      </w:r>
    </w:p>
    <w:p>
      <w:r>
        <w:rPr>
          <w:b/>
        </w:rPr>
        <w:t>E. 6</w:t>
      </w:r>
    </w:p>
    <w:p>
      <w:r>
        <w:t>Considéré globalement, l'état de frais produit par M e C______, défenseure d'office de A______, satisfait les exigences légales et jurisprudentielles régissant l'assistance judiciaire gratuite en matière pénale. Sa rémunération sera partant arrêtée à CHF 2'299.40 correspondant à 9h15 d'activité au tarif de CHF 200.-/heure (CHF 1'850.-) plus la majoration forfaitaire de 10% (CHF 185.-), un déplacement à CHF 100.- et l'équivalent de la TVA au taux de 7.7% en CHF 164.40.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