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P/20842/2010 vom 7. November 2014</w:t>
      </w:r>
    </w:p>
    <w:p>
      <w:r>
        <w:t>GE Cour de justice, 2014-11-07, FR</w:t>
      </w:r>
    </w:p>
    <w:p>
      <w:r>
        <w:rPr>
          <w:b/>
        </w:rPr>
        <w:t xml:space="preserve">Quelle: </w:t>
      </w:r>
      <w:r>
        <w:t>https://mcp.opencaselaw.ch/entscheid/ge_gerichte_P_20842_2010</w:t>
      </w:r>
    </w:p>
    <w:p>
      <w:r>
        <w:t>FR: GE_GERICHTE P/20842/2010 du 7 novembre 2014</w:t>
      </w:r>
    </w:p>
    <w:p>
      <w:r>
        <w:t>IT: GE_GERICHTE P/20842/2010 del 7 novembre 2014</w:t>
      </w:r>
    </w:p>
    <w:p>
      <w:pPr>
        <w:pStyle w:val="Heading2"/>
      </w:pPr>
      <w:r>
        <w:t>Regeste</w:t>
      </w:r>
    </w:p>
    <w:p>
      <w:r>
        <w:t>PRINCIPE DE L'ACCUSATION; FAUX INTELLECTUEL DANS LES TITRES; ESCROQUERIE; DOMMAGE; INDEMNITÉ(EN GÉNÉRAL); DOMMAGES-INTÉRÊTS | CPP.9.1; CPP.433; CPP.429; CP.251.1; CP.146; CO.41</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 ;</w:t>
      </w:r>
    </w:p>
    <w:p>
      <w:r>
        <w:rPr>
          <w:b/>
        </w:rPr>
        <w:t>E. 2.2</w:t>
      </w:r>
    </w:p>
    <w:p>
      <w:r>
        <w:t>En l'occurrence, le prévenu a versé deux chargés de pièces simultanément à sa déclaration d’appel et à sa réponse au mémoire d’appel motivé. La Chambre de céans accepte la production de la pièce 14, celle-ci étant pertinente. Les autres pièces du chargé seront écartées de la procédure. Plusieurs documents sont des copies d’actes issus de la procédure de première instance, lesquelles font parties du dossier soumis à la CPAR, et les autres ne s’avèrent pas non plus déterminantes pour trancher l’appel. Celles-ci seront donc écartées. Les parties plaignantes n'ont pas formulé, dans leur déclaration d'appel, la demande d'administrer de nouvelles preuves. Ils ont toutefois fait parvenir à la Chambre de céans un chargé de pièces accompagnant leur mémoire d'appel. Les pièces se rapportent à la procédure devant les premiers juges et figurent, partant, déjà au dossier, de sorte qu’il n’y a pas lieu de les y verser à nouveau. La pièce dont la production a été admise sera versée au dossier. Celles dont la production a été refusée seront classées dans une cote à part, pour permettre cas échéant un contrôle de la décision sur les réquisitions de preuves par le Tribunal fédéral.</w:t>
      </w:r>
    </w:p>
    <w:p>
      <w:r>
        <w:rPr>
          <w:b/>
        </w:rPr>
        <w:t>E. 3.1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w:t>
      </w:r>
    </w:p>
    <w:p>
      <w:r>
        <w:rPr>
          <w:b/>
        </w:rPr>
        <w:t>E. 3.2</w:t>
      </w:r>
    </w:p>
    <w:p>
      <w:r>
        <w:t>En l’occurrence, il n’est pas contesté que les débats de première instance ont aussi porté sur l’infraction de faux dans les titres comme cela résulte notamment des conclusions prises par les plaignants et le prévenu devant le Tribunal de police. Les parties ont pu faire valoir dans leurs écritures d’appel leurs déterminations à ce sujet. La Chambre de céans est ainsi libre de s’écarter de l’appréciation juridique du Ministère public découlant de l’acte d’accusation, dans les limites de l’état de fait décrit dans celui-ci, et d’examiner le grief de faux dans les titres soulevé par les parties plaignantes. 4.1.1. 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4.1.2. Le faux dans les titres est une infraction de mise en danger abstraite qui peut être commise par action ou par omission.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Sont notamment des titres tous les écrits destinés et propres à prouver un fait ayant une portée juridique (cf. art. 110 ch. 4 CP), c'est-à-dire un fait dont dépend la naissance, l'existence, la modification, le transfert, l'extinction ou la constatation d'un droit ; autrement dit, le fait doit être de nature à modifier la solution apportée à un problème juridique (B. CORBOZ, Les infractions en droit suisse , 3 e édition, Berne 2010, n. 24ss ad art. 251 CP).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(arrêt du Tribunal fédéral 6B_651/2011 du 20 février 2012 consid. 4.2).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958ss CO relatifs au bilan, qui définissent le contenu du document en question (ATF 132 IV 12 consid. 8.1 p. 14s ; ATF 129 IV 130 consid. 2.1 p. 133s ; arrêt du Tribunal fédéral 6B_651/2011 du 20 février 2012 consid. 4.3.1). Il faut se placer dans la situation du destinataire voulu et non pas se fixer sur la situation de l’auteur (qui devrait être en position de quai-garant). Selon cette conception, il faut se placer dans la peau d’un destinataire normalement vigilant, en faisant abstraction des circonstances extérieures à la pièce, et se demander si, en prenant connaissance de la pièce, il pouvait, en respectant les devoirs de la prudence, considérer que le fait faux était ainsi prouvé (B. CORBOZ, Les infractions en droit Suisse, vol. II , 2 e édition, Berne 2010, n. 143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consid. 2.2 p. 15s ; arrêt du Tribunal fédéral 6B_522/2011 du 8 décembre 2011 consid. 1.3). Selon la jurisprudence, il y a concours entre le faux dans les titres et l'escroquerie, quand bien même la première de ces infractions n'a été commise que pour perpétrer la seconde (ATF 129 IV 53 consid. 3). 4.2. En l'espèce, le billet à ordre du 28 mai 2010 constitue un titre au sens des art. 110 ch. 4 et 251 CP, dans la mesure où ce document tend à prouver l’existence d’une dette et incorpore, in casu , la promesse inconditionnelle du prévenu de verser la somme de CHF 100'000.- en faveur du plaignant, au 30 juin 2010. Le prévenu a consciemment et volontairement inscrit sur le billet à ordre la banque I______ comme lieu de paiement, sans révéler que celle-ci n’existait plus et que les comptes dont il avait été ayant-droit économique auprès de cet établissement avaient été clôturés, cela dans le but de convaincre les parties plaignantes qu’il allait régler les arriérés de loyer au plus tard le 30 juin et de le dissuader d’entreprendre une nouvelle procédure d’évacuation. Ce document est une promesse de paiement qualifiée propre à prouver la réelle volonté du prévenu, soit payer sa dette à l’échéance. Y______ s’est fié à cet engagement et a accordé une confiance particulière à ce titre. L’indication du lieu de paiement n’étant pas essentielle (art. 1097 al. 3 CO), le bénéficiaire n’avait pas à faire preuve d’une prudence particulière sur ce point. Même si le débiteur-prometteur qui rédige le billet à ordre n’a pas l’obligation de détenir la somme promise à ce moment-là, dès lors que ledit billet ne constate pas la disponibilité d’une quelconque somme, il faut qu’il ait la réelle intention de s’acquitter de sa dette à la date mentionnée, soit qu’il soit convaincu de pouvoir disposer du montant promis le moment venu. Or, la procédure, notamment l’audition de la gestionnaire des comptes du prévenu, a permis de démontrer que ce dernier savait, au moment où le billet à ordre a été rédigé, que ses comptes avaient été clôturés depuis plusieurs mois sans jamais avoir enregistré d’activité. La condition subjective du dessein spécial sous la forme d'un avantage illicite est également réalisée puisque le prévenu a au moins accepté l’idée de tromper la partie plaignante par le moyen du titre qu’il lui a transmis, dans le but de se procurer un avantage illicite, en gagnant du temps afin de rester le plus longtemps possible dans le logement appartenant à celle-ci, sans s’acquitter du loyer correspondant. Il avait d’ailleurs inscrit sur le mémo accompagnant le billet à ordre « traite à retourner à Me Cron dès réception de CHF 150'000.- », montant qui devait couvrir le loyer jusqu’au 31 janvier 2011, ce qui démontre bien son intention d’y demeurer. Au vu de ce qui précède, le prévenu sera reconnu coupable de faux dans les titres au sens de l’art. 251 CP, le jugement entrepris étant réformé sur ce point.</w:t>
      </w:r>
    </w:p>
    <w:p>
      <w:r>
        <w:rPr>
          <w:b/>
        </w:rPr>
        <w:t>E. 5</w:t>
      </w:r>
    </w:p>
    <w:p>
      <w:r>
        <w:t>5.1.1. L'escroquerie au sens de l'art.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La tromperie par dissimulation de faits vrais est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L'astuce est réalisée non seulement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126 IV 165 consid. 2a p. 171 ; ATF 122 IV 197 consid. 3d p. 205),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128 IV 18 consid. 3a p. 20 ; ATF 126 IV 165 consid. 2a p. 171). Tel est notamment le cas si l'auteur exploite un rapport de confiance préexistant qui dissuade la dupe de vérifier (ATF 122 IV 246 consid. 3a p. 248). L'astuce sera également réalisée lorsque la dupe, en raison de sa situation personnelle (faiblesse d'esprit, inexpérience, grand âge, maladie physique ou mentale ou encore état de dépendance, de subordination ou de détresse), n'est pas en mesure de procéder à une vérification et que l'auteur exploite cette situation (ATF 126 IV 165 consid. 2a p. 171/172 ; ATF 125 IV 124 consid. 3a p. 127/128 ; ATF 120 IV 186 consid. 1a p. 188 ; arrêt du Tribunal fédéral 6B_705/2008 du 13 décembre 2008 consid. 2.3). L’art. 146 CP ne punit pas les tromperies qui peuvent être déjouées avec un minimum d’attention (arrêt du Tribunal fédéral 6B_791/2013 du 3 mars 2014 consid. 3.1.2).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 (arrêt du Tribunal fédéral 6B_530/2008 du 8 janvier 2009 consid 3.3 avec référence aux ATF 122 IV 279 consid. 2a p. 281 et 121 IV 104 consid. 2c p. 107 s). Sur le plan subjectif, l'escroquerie est une infraction intentionnelle, le dol éventuel étant suffisant.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Le dessein d’enrichissement illégitime fait défaut lorsque l'auteur a droit ou croyait avoir droit à son enrichissement ou lorsque l’auteur a eu à tout moment la volonté et la possibilité de restituer les montants employés (hypothèse de l’Ersatzbereitschaft ; cf. B. CORBOZ, op. cit. , n. 25 ad art. 138 CP). 5.1.2. Il y a tentative d'escroquerie si l'auteur, agissant intentionnellement et dans un dessein d'enrichissement, a commencé l'exécution de cette infraction sans poursuivre son exécution jusqu'à son terme ou que le résultat dommageable ne se produit pas (art. 22 CP). Conformément aux règles générales, l'intention doit porter sur l'ensemble des éléments constitutifs objectifs. A cet égard, ce qui est déterminant c'est que l'auteur a agi en se représentant (donc en acceptant) une situation dans laquelle ces éléments sont réalisés.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w:t>
      </w:r>
    </w:p>
    <w:p>
      <w:r>
        <w:rPr>
          <w:b/>
        </w:rPr>
        <w:t>E. 5.2</w:t>
      </w:r>
    </w:p>
    <w:p>
      <w:r>
        <w:t>En l’espèce, le prévenu a fait parvenir à Y______ un billet à ordre d’une valeur de CHF 100'000.- devant être payé auprès de la banque I______. Un tel document n’a qu’une valeur de reconnaissance de dette, soit une simple promesse de paiement n’ayant aucun effet libératoire. Le fait d’être bénéficiaire dudit billet ne pouvait ainsi rassurer les plaignants, ni les tromper quant à la capacité financière du prévenu. Le document n’était pas non plus apte à prouver que ce dernier possédait un compte à la banque I______, qui n’était autre que le lieu de paiement. La nature même de ce titre n’était pas propre à réaliser la condition de l’astuce et n’aurait pas dû inciter des parties plaignantes à reporter les demandes visant à l’évacuer de leur appartement, dès lors que ce titre ne comportait aucune assurance de paiement. Y______, juriste de profession, devait connaître les effets liés à un billet à ordre et savoir que ce dernier n’avait pas la même valeur juridique qu’un chèque. De plus, le fait que le prévenu ait transmis le billet à ordre accompagné d’un mémo à en-tête de l’Etude de son conseil n’était pas propre à renforcer chez les parties plaignantes l’impression d’authenticité et de crédibilité de la promesse de payer et à les dissuader de procéder à de plus amples vérifications. Au contraire, le mémo précité aurait dû éveiller leurs soupçons, étant donné que la date de ce mémo était antérieure à celle de l’émission du billet à ordre, qu’il était adressé non pas à eux mais au prévenu et qu’il était aisément visible que la moitié du mémo original avait été effacée. En sus, selon les propres dires des parties plaignantes, le prévenu avait multiplié ses promesses de paiement, souvent relayées par son avocat et corroborées par des documents, tels que des avis de transfert bancaire destinés à démontrer la prochaine arrivée de fonds, qu’il n’avait jamais honorées sous divers prétextes, tels qu’un blocage des avoirs par les banques. Cela aurai dû les amener à faire preuve de prudence à réception du billet à ordre et une vérification simple leur aurait permis de constater que la banque I______ n’existait plus, rendant ainsi encore plus aléatoire le paiement de l’effet de change à son échéance. La procédure d’évacuation consécutive à la résiliation du bail du prévenu du 19 octobre 2009 n’a pas abouti du seul fait que ce congé était nul, car mal notifié, comme constaté par le Tribunal des baux et loyers dans son jugement du 11 mai 2010. Lors de l’audience du 4 mai 2010 relative à la procédure précitée, Y______ a refusé de donner un bref délai au prévenu pour réunir la somme due et persisté dans la requête en évacuation. Cela démontre que les plaignants n’avaient pas l’intention de laisser le prévenu demeurer dans leur appartement et que le billet à ordre en cause ne les a pas convaincu à accomplir un acte préjudiciable à leurs intérêts pécuniaires, par exemple en prolongeant le bail. Rien n’empêchait les parties plaignantes d’initier une nouvelle procédure de résiliation du bail et d’évacuation dans l’attente de l’encaissement des arriérés de loyers, en date du 30 juin 2010 selon l’échéance mentionnée sur le billet à ordre. Ils ne peuvent donc valablement invoquer une atteinte à leur patrimoine consécutive à l’émission dudit billet, d’autant qu’ils admettent eux-mêmes que le prévenu avait quitté le logement avant l’échéance de paiement fixée dans ce titre. La tentative ne peut pas non plus être retenue, car, comme relevé ci-dessus, même si le prévenu a cherché à abuser les parties plaignantes, le caractère astucieux de la tromperie fait défaut. Les éléments constitutifs de l’infraction d’escroquerie n’étant pas réalisés, le jugement entrepris sera réformé sur ce point.</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6.1.2. L'infraction de faux dans les titres est passible d'une peine privative de liberté de cinq ans au plus ou d'une peine pécuniaire, soit de la même peine que celle prévue pour l’escroquerie. 6.1.3. Conformément à l'art. 34 al. 1 CP, la peine pécuniaire est fixée en jours-amende dont le tribunal fixe le nombre en fonction de la culpabilité de l'auteur.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6.2</w:t>
      </w:r>
    </w:p>
    <w:p>
      <w:r>
        <w:t>En l'espèce, sans être importante, la faute du prévenu ne saurait être minimisée. Il a établi et fait usage d’un titre faux dans le but de demeurer le plus longtemps possible dans l’appartement propriété de Y______, en sachant qu’il était dans l’impossibilité d’honorer ses arriérés loyers et même le loyer courant. Il faut également tenir compte des antécédents du prévenu qui, même sans leur donner un poids excessif, ont pour effet d'aggraver sa culpabilité, dans la mesure où les différentes sanctions qu’il a subies pour d’autres infractions contre le patrimoine auraient dû le convaincre de choisir une autre voie. À la décharge du prévenu, il a reconnu devoir payer les arriérés de loyer dus et sa situation financière difficile a pu favoriser son passage à l'acte. Au vu de ce qui précède, le prévenu sera condamné à une peine pécuniaire de 100 jours-amende. Vu la situation personnelle de ce dernier, le montant du jour-amende fixé à CHF 50.- est justifié, de sorte que le jugement de première instance sera confirmé sur ce point.</w:t>
      </w:r>
    </w:p>
    <w:p>
      <w:r>
        <w:rPr>
          <w:b/>
        </w:rPr>
        <w:t>E. 7</w:t>
      </w:r>
    </w:p>
    <w:p>
      <w:r>
        <w:t>7.1.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 Le préjudice peut consister dans une diminution de l'actif, dans une augmentation du passif, dans une non-augmentation de l'actif ou dans une non-diminution du passif (ATF 133 III 462 ) ou dans le gain manqué (ATF 132 III 359 ).</w:t>
      </w:r>
    </w:p>
    <w:p>
      <w:r>
        <w:rPr>
          <w:b/>
        </w:rPr>
        <w:t>E. 7.2</w:t>
      </w:r>
    </w:p>
    <w:p>
      <w:r>
        <w:t>En l’espèce, le prévenu a été acquitté de l’infraction d’escroquerie et finalement reconnu coupable de faux dans les titres. Or ce n’est pas le remise du billet à ordre litigieux qui a causé le dommage allégué par les parties plaignantes. L’infraction finalement retenue n’est pas dans une relation de causalité naturelle et adéquate avec le dommage et celles-ci ne sont pas fondées à réclamer la réparation du préjudice subi en application des règles de l’art. 41 ss CO. Le prévenu ne doit ainsi pas être condamné à payer aux parties plaignantes, au titre de leur dommage, la somme de CHF 75'505.60, plus intérêts à 5% dès le 1 er janvier 2011. La Chambre de céans donne cependant acte au prévenu qu’il reconnait leur devoir ce montant. Au vu de ce qui précède, le jugement entrepris sera réformé sur ce point également.</w:t>
      </w:r>
    </w:p>
    <w:p>
      <w:r>
        <w:rPr>
          <w:b/>
        </w:rPr>
        <w:t>E. 8</w:t>
      </w:r>
    </w:p>
    <w:p>
      <w:r>
        <w:t>8.1.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 L'art. 433 CPP impose au plaignant de chiffrer et de justifier ses prétentions. La maxime d'instruction ne s'appliquant pas à l'égard de la partie plaignante, celle-ci doit demeurer active et demander elle-même une indemnisation (cf. ATF 1B_475/2011 ; ACPR/103/2012 du 8 mars 2012 ; WEHRENBERG/ BERNHARD, Basler Kommentar CPP , n° 12 ad art. 433; MIZEL/RÉTORNAZ, Commentaire romand CPP , n° 13 ad art. 433), 8.2.1. En l’espèce, les parties plaignantes ont été déboutées de leurs conclusions civiles et ne sauraient par conséquent être indemnisées pour les frais de défense qu’elles ont consentis pour le volet civil de la procédure. Le Tribunal de police a alloué aux parties plaignantes une indemnité de CHF 15'880.65, avec intérêts à 5% dès le 1 er janvier 2011, pour les honoraires de leur conseil, au sens de l’art. 433 CPP. Compte tenu de ce qui précède, il y a lieu de réduire ce montant et de le fixer ex aequo et bono . Un montant réduit à CHF 14'000.-, TVA à 8% comprise, apparaît adéquat. En conséquence, l’indemnisation des parties plaignantes pour leurs frais de défense sera réduite à CHF 14'000.-, TVA à 8% comprise, avec intérêts à 5% dès le 27 avril 2012, soit la date moyenne du moment des paiements des notes d'honoraires à titre de participation à leurs honoraires de conseil afférent à la procédure de première instance. 8.2.2. En outre, les parties plaignantes n'ont produit aucune note d'honoraires relative à l’activité de leur conseil durant la procédure d'appel, se limitant à conclure aux dépens. Les prétentions en indemnisation de la partie plaignante ne sauraient recevoir le même traitement que celles d'un prévenu (arrêt du Tribunal fédéral 1B_475/2011 du 11 janvier 2012). Il s'ensuit que, faute d'avoir chiffré leurs prétentions en indemnisation, bien que leur attention ait été attirée sur ce point dans l’ordonnance de la Chambre de céans du 24 janvier 2014, les parties plaignantes seront déboutés de leurs conclusions, la juridiction d'appel ne pouvant entrer en matière sur leur revendication (art. 433 al. 2 deuxième phrase CPP).</w:t>
      </w:r>
    </w:p>
    <w:p>
      <w:r>
        <w:rPr>
          <w:b/>
        </w:rPr>
        <w:t>E. 9.1</w:t>
      </w:r>
    </w:p>
    <w:p>
      <w:r>
        <w:t>L'art. 429 CPP règle l'indemnisation du prévenu acquitté totalement ou partiellement ou bénéficiant d'un classement. L’autorité pénale examine d’office les prétentions du prévenu, mais elle peut l'enjoindre de les chiffrer et de les justifier (art. 429 al. 2 CPP).</w:t>
      </w:r>
    </w:p>
    <w:p>
      <w:r>
        <w:rPr>
          <w:b/>
        </w:rPr>
        <w:t>E. 9.2</w:t>
      </w:r>
    </w:p>
    <w:p>
      <w:r>
        <w:t>En l’occurrence, la qualification juridique de l’infraction a été modifiée pour une autre de gravité équivalente. Une indemnisation du prévenu n’entre ainsi pas en ligne de compte.</w:t>
      </w:r>
    </w:p>
    <w:p>
      <w:r>
        <w:rPr>
          <w:b/>
        </w:rPr>
        <w:t>E. 10</w:t>
      </w:r>
    </w:p>
    <w:p>
      <w:r>
        <w:t>Les appelants seront condamnés chacun à la moitié des frais de la procédure d'appel, qui comprendront dans leur totalité un émolument de jugement de CHF 2'400.-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