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P/20832/2018 vom 14. April 2020</w:t>
      </w:r>
    </w:p>
    <w:p>
      <w:r>
        <w:t>GE Cour de justice, 2020-04-14, FR</w:t>
      </w:r>
    </w:p>
    <w:p>
      <w:r>
        <w:rPr>
          <w:b/>
        </w:rPr>
        <w:t xml:space="preserve">Quelle: </w:t>
      </w:r>
      <w:r>
        <w:t>https://mcp.opencaselaw.ch/entscheid/ge_gerichte_P_20832_2018</w:t>
      </w:r>
    </w:p>
    <w:p>
      <w:r>
        <w:t>FR: GE_GERICHTE P/20832/2018 du 14 avril 2020</w:t>
      </w:r>
    </w:p>
    <w:p>
      <w:r>
        <w:t>IT: GE_GERICHTE P/20832/2018 del 14 aprile 2020</w:t>
      </w:r>
    </w:p>
    <w:p>
      <w:pPr>
        <w:pStyle w:val="Heading2"/>
      </w:pPr>
      <w:r>
        <w:t>Regeste</w:t>
      </w:r>
    </w:p>
    <w:p>
      <w:r>
        <w:t>APPRÉCIATION DES PREUVES | CP.123.al2; CPP.147.al3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p. 40 s.). En tant que règle sur le fardeau de la preuve, la présomption d'innocence signifie, au stade du jugement, que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L'art. 6 par. 3 let. d de la Convention de sauvegarde des droits de l'homme et des libertés fondamentales du 4 novembre 1950 (CEDH - RS 0.101)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de la Constitution fédérale de la Confédération suisse du 18 avril 1999 [Cst. - RS 101]), cette exigence est également garantie par l'art. 32 al. 2 Cst. Ce droit est absolu lorsque la déposition du témoin en cause est d'une importance décisive, notamment lorsqu'il est le seul témoin, ou que sa déposition est une preuve essentielle (ATF 131 I 476 c. 2.2 ; arrêt du Tribunal fédéral 6B_1310/2016 du 13 décembre 2017 consid. 2.1).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(ATF 133 I 33 consid. 3.1 p. 41 ; ATF 131 I 476 consid. 2.2 p. 480 s. ; arrêt du Tribunal fédéral 6B_1310/2016 du 13 décembre 2017 consid. 2.1). En effet, pour pouvoir utiliser valablement son droit de poser des questions, l'accusé doit avoir la possibilité d'examiner la crédibilité personnelle du témoin et de vérifier la valeur probante de ses déclarations (ATF 133 I 33 consid. 3.1 p. 4.1). Ce droit est absolu lorsque la déposition du témoin en cause est d'une importance décisive, notamment lorsqu'il est le seul témoin, ou que sa déposition constitue une preuve essentielle (ATF 131 I 476 consid. 2.2 p. 480 s. et les références ; ATF 129 I 151 consid. 3.1 in fine p. 154 ; ATF 125 I 127 consid. 6c/dd p. 135 ; arrêts du Tribunal fédéral 6B_276/2018 du 24 septembre 2018 consid. 2.1.1 ; 6B_435/2018 du 19 septembre 2018 consid. 3.1.1). Selon l'art. 147 al. 3, 2 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 D. JOSITSCH, n. 14 ad art. 147). L'autorité pénale n'a pas à envisager celle-ci d'office : le prévenu doit la demander (N. SCHMID / D. JOSITSCH, op. cit. , n. 11 ad art. 147).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Le prévenu doit requérir la confrontation et son silence à cet égard permet d'en inférer qu'il y a renoncé (ATF 143 IV 397 consid. 3.4 ; arrêt du Tribunal fédéral 6B_1167/2018 du 23 janvier 2019 consid. 2.1 et références citées).</w:t>
      </w:r>
    </w:p>
    <w:p>
      <w:r>
        <w:rPr>
          <w:b/>
        </w:rPr>
        <w:t>E. 2.3</w:t>
      </w:r>
    </w:p>
    <w:p>
      <w:r>
        <w:t>Selon l'art. 123 CP, celui qui, intentionnellement, aura fait subir à une personne une atteinte à l'intégrité corporelle ou à la santé qui ne peut être qualifiée de grave sera, sur plainte, puni d'une peine privative de liberté de trois ans au plus ou d'une peine pécuniaire.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À teneur de l'art. 123 ch. 2 CP, les lésions corporelles simples se poursuivent d'office notamment si l'auteur est le partenaire de la victime, pour autant qu'ils fassent ménage commun pour une durée indéterminée et que l'atteinte ait été commise durant cette période ou dans l'année qui a suivi la séparation.</w:t>
      </w:r>
    </w:p>
    <w:p>
      <w:r>
        <w:rPr>
          <w:b/>
        </w:rPr>
        <w:t>E. 2.4</w:t>
      </w:r>
    </w:p>
    <w:p>
      <w:r>
        <w:t>En l'espèce, les accusations à l'encontre de l'appelant sont fondées non seulement sur les déclarations de la lésée, qui a retiré sa plainte, mais aussi sur des certificats médicaux détaillés qui, s'ils ne permettent pas d'identifier l'auteur des lésions, attestent néanmoins de leur existence. La lésée a été entendue par la police puis au cours d'une audience d'instruction au MP, à laquelle le prévenu a fait défaut sans être excusé et sans motif valable, étant précisé qu'il n'était à l'époque pas assisté d'un conseil et ne se trouvait pas en situation de défense obligatoire. Cette audition s'est déroulée conformément aux principes de l'instruction contradictoire ; l'appelant ne peut s'en prendre qu'à lui-même de ne pas y avoir participé et d'avoir ainsi renoncé à exercer son droit d'interroger un témoin. Il semble d'ailleurs coutumier du fait, étant relevé qu'il a également fait défaut à une première audience du TP et a manqué un grand nombre des rendez-vous qui lui avaient été fixés par le SPI. Si la lésée n'a pas comparu à l'audience de jugement, ce qui est certes regrettable, l'appelant n'a plus sollicité son audition en appel. Les déclarations de la victime sont ainsi parfaitement exploitables, l'appelant ayant eu la possibilité de l'interroger, à laquelle il a renoncé par son absence lors de la confrontation. Certes, la Cour de céans pourrait ordonner d'office une telle audition, si elle devait retenir que les auditions effectuées jusqu'alors sont inexploitables, qu'elles ne lui permettent pas de se forger une conviction ou encore qu'elle ne se trouve dans une situation de « parole contre parole ». Tel n'est toutefois pas le cas puisque, d'une part, l'appelant a eu la possibilité d'assister à l'audience de confrontation. D'autre part et surtout, les déclarations de la lésée ne constituent pas l'unique élément à charge de la procédure, puisqu'elle contient également les constatations de la police, des certificats médicaux voire les attestations du SPI, qui étayent le caractère impulsif et parfois violent de l'appelant. Les faits établis l'ont donc été dans le respect du droit d'être entendu de l'appelant, de manière équitable, et ne laissent aucune place au doute. Le verdict de culpabilité du premier juge pour lésions corporelles en lien avec les faits du 22 octobre 2018 (deux épisodes) et du 17 décembre 2018 doit être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3.3</w:t>
      </w:r>
    </w:p>
    <w:p>
      <w:r>
        <w:t>En l'espèce, l'appelant ne s'est pas exprimé sur la peine prononcée au-delà de l'acquittement plaidé. Sa faute est importante. Il n'a pas hésité à s'en prendre à l'intégrité de sa compagne, mère de sa fille, à trois reprises, dont deux le même jour, et la troisième quelques semaines plus tard alors qu'il avait déjà fait l'objet d'une plainte pénale. S'il est établi qu'il a agi dans un contexte de violences verbales réciproques, voire de jalousie exacerbée de sa compagne, il n'en demeure pas moins qu'il s'est, dans cette situation conflictuelle, laissé déborder par la colère en recourant à la violence de façon brutale, profitant de sa supériorité physique pour occasionner des lésions corporelles simples à la victime. Sa situation personnelle n'explique ni ne justifie son comportement, au contraire puisqu'il s'en est pris à la mère de sa fille, qui plus est en présence de cette dernière. Son seul antécédent n'est pas spécifique. L'appelant persiste à nier les faits et à blâmer la victime, qu'il taxe d'hystérie, faisant preuve de bien peu d'introspection et encore moins de prise de conscience, même s'il faut espérer que le travail entamé auprès du SPI, envers lequel il semble avoir fait preuve de plus de candeur, porte ses fruits. Il est à cet égard regrettable que le sursis dont il a bénéficié, et qui lui est acquis quand bien même le pronostic favorable pourrait être mis en doute au vu de son attitude, n'ait pas été assorti d'une règle de conduite l'astreignant à poursuivre cette introspection. Cela étant, cet aspect également ne peut pas être revu en sa défaveur (art. 391 al. 2 CPP). Il y a concours d'infractions. Il n'est pas contesté que la responsabilité pénale de l'intimé fut entière et qu'aucune circonstance atténuante au sens de l'art. 48 CP n'est réalisée. L'infraction la plus grave est la dernière, notamment par la gravité des lésions infligées (rupture du tympan) et emporte à elle seule une peine de 90 jours-amende, qui doit être portée à 140 jours-amende (peine théorique : 60 jours-amende) pour les premiers faits du 22 octobre 2018, et à 180 jours-amende (peine théorique : 50 jours-amende) pour ceux qui se sont déroulés dans la voiture. En l'absence d'appel-joint du MP, toutefois, la peine prononcée en appel ne peut excéder celle prononcée en première instance (art. 391 al. 2 CPP), qui doit dès lors être confirmée. Le délai d'épreuve de trois ans retenu par le premier juge est adéquat et proportionné. Enfin, c'est à raison que le premier juge n'a rien déduit de la peine (art. 51 CP) en raison des mesures de substitution, qui n'ont porté qu'une très légère atteinte à la liberté personnelle de l'appelant, lequel ne les a d'ailleurs que peu respectées.</w:t>
      </w:r>
    </w:p>
    <w:p>
      <w:r>
        <w:rPr>
          <w:b/>
        </w:rPr>
        <w:t>E. 4</w:t>
      </w:r>
    </w:p>
    <w:p>
      <w:r>
        <w:t>L'appelant, qui succombe, supportera les frais de la procédure d'appel (art. 428 CPP). Il n'y a par ailleurs pas lieu de revoir les frais mis à sa charge en première instance (art. 428 al. 3 CPP), qui tiennent adéquatement compte des acquittements prononcés.</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 de sorte qu'il sera admis sans en reprendre le détail. En conclusion, l'indemnité sera arrêtée à CHF 1'229.95 correspondant à deux heures et 50 minutes d'activité au tarif de CHF 200.-/heure, trois heures et demie au tarif de CHF 110.-/heure, plus la majoration forfaitaire de 20% et l'équivalent de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