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P/20790/2010 vom 28. November 2015</w:t>
      </w:r>
    </w:p>
    <w:p>
      <w:r>
        <w:t>GE Cour de justice, 2015-11-28, FR</w:t>
      </w:r>
    </w:p>
    <w:p>
      <w:r>
        <w:rPr>
          <w:b/>
        </w:rPr>
        <w:t xml:space="preserve">Quelle: </w:t>
      </w:r>
      <w:r>
        <w:t>https://mcp.opencaselaw.ch/entscheid/ge_gerichte_P_20790_2010</w:t>
      </w:r>
    </w:p>
    <w:p>
      <w:r>
        <w:t>FR: GE_GERICHTE P/20790/2010 du 28 novembre 2015</w:t>
      </w:r>
    </w:p>
    <w:p>
      <w:r>
        <w:t>IT: GE_GERICHTE P/20790/2010 del 28 novembre 2015</w:t>
      </w:r>
    </w:p>
    <w:p>
      <w:pPr>
        <w:pStyle w:val="Heading2"/>
      </w:pPr>
      <w:r>
        <w:t>Regeste</w:t>
      </w:r>
    </w:p>
    <w:p>
      <w:r>
        <w:t>PRÉSOMPTION D'INNOCENCE; LÉGITIME DÉFENSE; LÉSION CORPORELLE SIMPLE; VIOLATION D'UNE OBLIGATION D'ENTRETIEN; FIXATION DE LA PEINE | CEDH.6.2; CP.15; CP.123; CP.217; CP.47; CPP.433</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pouvoir d'appréciation étendu dans l'appréciation des preuves (ATF 120 Ia 31 ).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w:t>
      </w:r>
    </w:p>
    <w:p>
      <w:r>
        <w:rPr>
          <w:b/>
        </w:rPr>
        <w:t>E. 2.2</w:t>
      </w:r>
    </w:p>
    <w:p>
      <w:r>
        <w:t>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(cf. ATF 106 IV 12 consid. 2a p. 14 ; 104 IV 232 consid. c p. 236/237). Cette condition n'est pas réalisée lorsque l'attaque a cessé ou qu'il n'y a pas encore lieu de s'y attendre (ATF 93 IV 83 ). Une attaque n'est cependant pas achevée aussi longtemps que le risque d'une nouvelle atteinte ou d'une aggravation de celle-ci par l'assaillant reste imminent (ATF 102 IV 1 consid. 2b p. 4/5). Il faut toutefois que des signes concrets annonçant un danger incitent à la défense. Tel est notamment le cas lorsque l'agresseur adopte un comportement menaçant, se prépare au combat ou effectue des gestes qui donnent à le penser (ATF 93 IV 83 /84).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83 ).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 Zurich 2011, n. 555, p. 189).</w:t>
      </w:r>
    </w:p>
    <w:p>
      <w:r>
        <w:rPr>
          <w:b/>
        </w:rPr>
        <w:t>E. 3.1</w:t>
      </w:r>
    </w:p>
    <w:p>
      <w:r>
        <w:t>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![endif]&gt;![if&gt;</w:t>
      </w:r>
    </w:p>
    <w:p>
      <w:r>
        <w:rPr>
          <w:b/>
        </w:rPr>
        <w:t>E. 3.2</w:t>
      </w:r>
    </w:p>
    <w:p>
      <w:r>
        <w:t>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Le débiteur ne peut se libérer valablement qu'en versant la contribution en mains du bénéficiaire ou, s'il s'agit d'un enfant mineur, en mains du représentant légal de l'enfant (SJ 1995 p. 519/520). On ne peut reprocher à l'auteur d'avoir violé son obligation d'entretien que s'il avait les moyens de la remplir, ou aurait pu les avoir (arrêt du Tribunal fédéral 6B_509/2008 du 29 août 2008 consid. 2.1). Pour que l'infraction sanctionnée par l'art. 217 CP soit objectivement réalisée, le débiteur doit avoir disposé des moyens matériels pour verser tout ou partie des aliments impayés (ATF 101 IV 52 ; 76 IV 109 ; 73 IV 178 ; BJP 1987 no 187) - dont le paiement revêt un caractère prioritaire par rapport au règlement d'autres dettes - ou s'être mis dans une situation l'empêchant de le faire (FF 1985 II 1070 ; ATF 126 IV 131 = JdT 2001 IV 55). Commet ainsi l'infraction non seulement le débiteur défaillant qui avait les moyens de s'acquitter des aliments dus, mais également celui qui, ne disposant pas de tels moyens, a renoncé sans raison à réaliser des gains ou à recevoir des prestations de droit public, celui qui aurait pu changer de profession ou augmenter son temps de travail pour accroître ses revenus (ATF 114 IV 124 consid. 3b ; U. BRODER, Delikte gegen die Familie , RPS 1992, 304-305), ou encore celui qui, étant en mesure de verser à tout le moins une partie des aliments dus, s'en est consciemment abstenu sans motif suffisant (ATF 101 IV 52 ; 76 IV 109 ; 73 IV 178 ; BJP 1987 n° 187).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in JT 2001 IV 55 ). Lorsque la situation est claire en fait et en droit et que le débiteur n'a fourni aucune prestation ou une prestation manifestement dérisoire, on peut admettre sans difficulté qu'il a violé son obligation d'entretien (B. CORBOZ, Les infractions en droit suisse, Berne, 2010, n. 13 ad art. 217.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 (ATF 128 IV 86 consid. 2b p. 90). 3.3.1 Faits constitutifs de lésions corporelles L'appelant, qui avait commencé par être dans le déni, a fini par admettre par bribes la réalité des faits relatés par l'intimée dans sa plainte pénale. La seule saisie du bras a laissé la place à une poussée par réaction au cours de laquelle il l'avait saisie par les poignets et plaquée contre le mur. Finalement, l'évocation d'une prise par la gorge n'était pas à écarter ainsi que l'existence d'une blessure aux poignets quand il l'avait saisie pour la repousser. Le récit auquel l'appelant a consenti au gré des audiences correspond à l'épisode de violence évoqué par la partie plaignante, sinon le coup de genou au bas-ventre absent de son discours. L'appelant n'en est manifestement pas à son coup d'essai, lui qui a cherché dans un premier temps à occulter la réalité de violences antérieures avant d'admettre leur existence, tout en cherchant à rejeter la faute sur son épouse. Les violences décrites par l'intimée sont étayées par un certificat médical qui les valide, sous réserve de l'acte par lequel l'appelant est accusé d'avoir serré violemment le cou de l'intimée. L'explication selon laquelle la victime aurait la peau qui marque rapidement n'est guère probante dans ces circonstances. De la même manière, les allusions à un complot à ramifications internationales ou à un coup monté ne servent qu'à masquer sa culpabilité. L'appelant ne peut invoquer la légitime défense, contrairement à ce qu'il laisse entendre. Il a en effet nié à la police que son épouse ait exercé des menaces à son égard, même dans l'hypothèse où elle aurait brandi le fer à repasser face à lui, avant de revenir sur ces faits dans son courrier du 10 juillet 2014. Un motif de rejet de la circonstance atténuante tient à l'absence d'attaque de la part de son épouse. Certes, l'appelant se plaint d'une morsure dont, de manière surprenante, il ne parle pas à la police. Son discours est ensuite ambivalent, déclarant tour à tour avoir été victime du défaut de réaction de la police puis ne pas vouloir faire d'histoires, s'étant employé à guérir seul sa plaie. En tout état, l'absence de tout constat médical nuit à la crédibilité de ses allégations en la matière. Enfin, l'appelant sera débouté de sa demande de production des enregistrements de la police pour des motifs formels d'abord, la requête formulée en audience d'appel étant manifestement tardive. Elle est inopérante au fond, la police n'étant pas l'autorité appelée à apprécier les faits dont elle est nantie, ce privilège appartenant aux autorités de jugement. Au vu de ce qui précède, le jugement du Tribunal de police sera confirmé sur ce premier point. 3.3.2 Faits constitutifs de violation d'obligation d'entretien L'appelant fait grand cas d'une détérioration de sa situation financière qui aurait pour effet d'altérer sa capacité à faire face à ses obligations en matière d'obligation d'entretien. C'est oublier que la Cour d'Appel de Bucarest, dans un arrêt de fin 2014, a infirmé cette hypothèse, les montants que l'appelant a été condamné à verser étant sensiblement similaires à ceux décidés en 2012 par les autorités de jugement genevoises. L'absence de liquidités dont se prévaut l'appelant est mise à mal par la réalité des faits. La propriété qu'il exerce sur plusieurs biens immobiliers aurait dû lui permettre, pour autant qu'il l'ait voulu, de dégager des moyens propres à satisfaire ses obligations d'entretien. La vente effectuée sur un bien acquis pendant le mariage en est la preuve, la vente ayant rapporté plusieurs dizaines de milliers d'euros. Si l'appelant était réellement dans une situation financière à tel point obérée qu'elle le placerait dans une incapacité de faire face à ses obligations alimentaires, il n'aurait pas attendu 2015 pour envisager une action en justice. Le motif avancé pour ne rien entreprendre, à la fois dérisoire et futile, ne coïncide pas avec les éléments figurant au dossier qui témoignent d'une capacité financière qui n'a rien de désastreuse. En définitive, tout pousse à penser que l'appelant s'est persuadé que le versement régulier d'une somme de EUR 200.- suffisait aux besoins de la créancière. L'appelant use dès lors de tous les prétextes pour organiser son insolvabilité, en espérant échapper ainsi aux foudres de la justice qu'il noie sous une masse de documents dont il espère tirer profit. Ce faisant, il place les membres de sa famille, dont ses propres enfants, dans une situation délicate s'ils devaient quitter le logement familial faute de paiement de la dette hypothécaire. La réalité tient à une capacité financière suffisante de l'appelant, tant au titre d'actionnaire unique d'une société dont il a hérité qu'à celui de propriétaire de nombreux biens immobiliers, dont la réalisation d'une partie seulement aurait permis de faire face à ses obligations alimentaires. L'appelant a au contraire démontré sa volonté de ne pas s'acquitter de ses obligations, bien qu'il en soit capable au regard de sa situation financière qui n'est pas aussi dégradée qu'il veut bien le faire croire. Aussi le jugement du Tribunal de police sera-t-il également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L'appelant n'a pas contesté la peine qui lui a été infligée par le Tribunal de police, dans son genre, sa quotité ou dans le montant du jour-amende. De la même manière, il n'a pas dit un mot sur le principe d'une amende en guise de sanction immédiate. L'examen des critères légaux pour la fixation de la peine conduit la CPAR à confirmer le jugement du premier juge sur ce point, dans la mesure où le Tribunal a correctement appliqué les dispositions légales topiques, privilégiant à juste titre la peine pécuniaire à la peine privative de liberté et prenant pour un fait acquis la faible prise de conscience de l'appelant pour justifier le prononcé d'une sanction immédiate. Le sursis est acquis à l'appelant, faute d'appel du Ministère public, en application du principe de l'interdiction de la reformatio in peius.</w:t>
      </w:r>
    </w:p>
    <w:p>
      <w:r>
        <w:rPr>
          <w:b/>
        </w:rPr>
        <w:t>E. 5</w:t>
      </w:r>
    </w:p>
    <w:p>
      <w:r>
        <w:t>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2).![endif]&gt;![if&gt; La partie plaignante a obtenu gain de cause au sens de cette norme lorsque le prévenu a été condamné et/ou si les prétentions civiles sont été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 ; A. KUHN / Y. JEANNERET (éds), Commentaire romand : Code de procédure pénale suisse , Bâle 2011, n. 8 ad art. 433 ; N. SCHMID, op. cit. , n. 3 ad art. 433). La Cour de justice applique, en matière d'honoraires d'avocat, un tarif horaire de CHF 450.- ( ACPR/112/2014 du 26 février 2014, renvoyant au tarif "usuel" de CHF 400.- ressortant de la SJ 2012 I 175 ; ACPR/279/2014 du 27 mai 2014) ou de CHF 400.- ( ACPR/282/2014 du 30 mai 2014), notamment si l'avocat concerné avait lui-même calculé sa prétention à ce taux-là ( ACPR/377/2013 du 13 août 2013 ; ACPR/302/2014 du 18 juin 2014). En conclusion, l'indemnité sera arrêtée à CHF 2'133.30 correspondant à 5 heures et 40 minutes d'activité au tarif de CHF 400.- l'heure, l'audience ayant durée deux et non une heure comme projeté par le conseil. Il y a lieu d'ajouter à ce montant l'équivalent de la TVA au taux de 8% [CHF 170.65], ce qui porte les honoraires dus par l'appelant à CHF 2'303.95.</w:t>
      </w:r>
    </w:p>
    <w:p>
      <w:r>
        <w:rPr>
          <w:b/>
        </w:rPr>
        <w:t>E. 6</w:t>
      </w:r>
    </w:p>
    <w:p>
      <w:r>
        <w:t>L'appelant, qui succombe, supportera également les frais de la procédure envers l'État (art. 428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