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P/2063/2019 vom 24. Juni 2019</w:t>
      </w:r>
    </w:p>
    <w:p>
      <w:r>
        <w:t>GE Cour de justice, 2019-06-24, FR</w:t>
      </w:r>
    </w:p>
    <w:p>
      <w:r>
        <w:rPr>
          <w:b/>
        </w:rPr>
        <w:t xml:space="preserve">Quelle: </w:t>
      </w:r>
      <w:r>
        <w:t>https://mcp.opencaselaw.ch/entscheid/ge_gerichte_P_2063_2019</w:t>
      </w:r>
    </w:p>
    <w:p>
      <w:r>
        <w:t>FR: GE_GERICHTE P/2063/2019 du 24 juin 2019</w:t>
      </w:r>
    </w:p>
    <w:p>
      <w:r>
        <w:t>IT: GE_GERICHTE P/2063/2019 del 24 giugno 2019</w:t>
      </w:r>
    </w:p>
    <w:p>
      <w:pPr>
        <w:pStyle w:val="Heading2"/>
      </w:pPr>
      <w:r>
        <w:t>Regeste</w:t>
      </w:r>
    </w:p>
    <w:p>
      <w:r>
        <w:t>DOMMAGES À LA PROPRIÉTÉ(DROIT PÉNAL);INTENTION | CPP.310; cp.144</w:t>
      </w:r>
    </w:p>
    <w:p>
      <w:pPr>
        <w:pStyle w:val="Heading2"/>
      </w:pPr>
      <w:r>
        <w:t>Erwägungen</w:t>
      </w:r>
    </w:p>
    <w:p>
      <w:r>
        <w:rPr>
          <w:b/>
        </w:rPr>
        <w:t>E. 1</w:t>
      </w:r>
    </w:p>
    <w:p>
      <w:r>
        <w:t>Le recours est recevable pour avoir été déposé selon la forme et dans le délai prescrits (art. 385 al.1 et 396 al.1 CPP) - les formalités de l'art. 85 al. 2 CPP n'ayant pas été observées - concerner une ordonnance sujette à recours auprès de la Chambre de céans (art. 393 al.1 let. a CPP) et émaner du plaignant, qui, partie à la procédure (art. 104 al.1 let. b CPP), a qualité pour agir, ayant un intérêt juridiquement protégé à la modification ou à l'annulation de la décision querellée (art. 382 al.1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faits et moyens de preuve nouveaux sont recevables devant l'instance de recours, de sorte que les pièces nouvelles produites à l'appui du recours seront admises (arrêts du Tribunal fédéral 1B_368/2014 du 5 février 2015 consid. 3.1 et 3.2 et les références citées).</w:t>
      </w:r>
    </w:p>
    <w:p>
      <w:r>
        <w:rPr>
          <w:b/>
        </w:rPr>
        <w:t>E. 4</w:t>
      </w:r>
    </w:p>
    <w:p>
      <w:r>
        <w:t>La Chambre de céans jouit d'un plein pouvoir de cognition en droit, en fait et en opportunité (art. 393 al. 2 CPP) (ATF 137 I 195 consid. 2.3.2 p. 197; arrêt du Tribunal fédéral 1B_524/2012 du 15 novembre 2012 consid. 2.1).</w:t>
      </w:r>
    </w:p>
    <w:p>
      <w:r>
        <w:rPr>
          <w:b/>
        </w:rPr>
        <w:t>E. 5</w:t>
      </w:r>
    </w:p>
    <w:p>
      <w:r>
        <w:t>Le recourant fait grief au Ministère public de ne pas être entré en matière sur sa plainte pour dommage à la propriété.</w:t>
      </w:r>
    </w:p>
    <w:p>
      <w:r>
        <w:rPr>
          <w:b/>
        </w:rPr>
        <w:t>E. 5.1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 Fondation pour la formation continue des juges suisses ,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w:t>
      </w:r>
    </w:p>
    <w:p>
      <w:r>
        <w:rPr>
          <w:b/>
        </w:rPr>
        <w:t>E. 6.1</w:t>
      </w:r>
    </w:p>
    <w:p>
      <w:r>
        <w:t>. L'art. 144 al. 1 CP punit, sur plainte, celui qui aura endommagé, détruit ou mis hors d'usage une chose appartenant à autrui ou frappée d'un droit d'usage ou d'usufruit au bénéfice d'autrui. Le dommage à la propriété est une infraction intentionnelle, en ce sens que l'auteur doit avoir conscience, au moins sous la forme du dol éventuel, de porter atteinte à une chose appartenant à autrui, une erreur sur les faits étant cependant concevable (ATF 116 IV 145 c. b.), les dommages causés par négligence n'étant pas punissables.</w:t>
      </w:r>
    </w:p>
    <w:p>
      <w:r>
        <w:rPr>
          <w:b/>
        </w:rPr>
        <w:t>E. 6.2</w:t>
      </w:r>
    </w:p>
    <w:p>
      <w:r>
        <w:t>En l'espèce, le recourant soutient que l'actionnaire de la société mise en cause se serait emparé de sa caméra et l'aurait endommagé, dans le dessein de lui nuire. Il n'était pas non plus exclu que l'auxiliaire de ladite société aurait cassé le dispositif de surveillance, sur instigation de cette dernière. La société et son actionnaire ont quant à eux, reconnu avoir retiré - sans toutefois l'endommager - ladite caméra de l'arbre, au motif qu'elle surveillait la parcelle de la société, puis l'avoir confié à un auxiliaire, afin qu'il en retire les piles, car celle-ci continuait à les filmer, malgré le fait qu'elle eût été ôtée de son socle. Cette version des faits est corroborée par les déclarations dudit auxiliaire, lequel a expliqué avoir reçu pour instruction d'extraire les piles du dispositif de surveillance en question, afin de s'assurer qu'il ne filmait plus. Il avait tenté de le faire et avait, à cette occasion, rayé accidentellement le capot arrière de la caméra - ce qu'il regrettait -, sans pour autant que cela affecte le fonctionnement de l'appareil. Au vu de l'ensemble des circonstances, rien ne permet donc de retenir que ce dernier aurait volontairement endommagé l'objet litigieux, ni qu'il aurait été instigué par les mis en cause à le faire. Les mesures d'enquêtes sollicitées, soit l'audition des parties et de témoins - qu'il ne nomme au demeurant pas - n'apparaissent pas propres à modifier cette appréciation, étant relevé que les parties camperaient vraisemblablement sur leurs version des faits. Il résulte de ce qui précède que c'est à bon droit que le Ministère public a décidé de ne pas entrer en matière sur la plainte pénale du recourant, faute de prévention pénale suffisante.</w:t>
      </w:r>
    </w:p>
    <w:p>
      <w:r>
        <w:rPr>
          <w:b/>
        </w:rPr>
        <w:t>E. 7</w:t>
      </w:r>
    </w:p>
    <w:p>
      <w:r>
        <w:t>Justifiée, l'ordonnance querellée sera donc confirmée.</w:t>
      </w:r>
    </w:p>
    <w:p>
      <w:r>
        <w:rPr>
          <w:b/>
        </w:rPr>
        <w:t>E. 8</w:t>
      </w:r>
    </w:p>
    <w:p>
      <w:r>
        <w:t>Le recourant, qui succombe, supportera les frais envers l'État, arrêtés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