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P/20563/2015 vom 12. Februar 2016</w:t>
      </w:r>
    </w:p>
    <w:p>
      <w:r>
        <w:t>GE Cour de justice, 2016-02-12, FR</w:t>
      </w:r>
    </w:p>
    <w:p>
      <w:r>
        <w:rPr>
          <w:b/>
        </w:rPr>
        <w:t xml:space="preserve">Quelle: </w:t>
      </w:r>
      <w:r>
        <w:t>https://mcp.opencaselaw.ch/entscheid/ge_gerichte_P_20563_2015</w:t>
      </w:r>
    </w:p>
    <w:p>
      <w:r>
        <w:t>FR: GE_GERICHTE P/20563/2015 du 12 février 2016</w:t>
      </w:r>
    </w:p>
    <w:p>
      <w:r>
        <w:t>IT: GE_GERICHTE P/20563/2015 del 12 febbraio 2016</w:t>
      </w:r>
    </w:p>
    <w:p>
      <w:pPr>
        <w:pStyle w:val="Heading2"/>
      </w:pPr>
      <w:r>
        <w:t>Regeste</w:t>
      </w:r>
    </w:p>
    <w:p>
      <w:r>
        <w:t>DEMANDE ADRESSÉE À L'AUTORITÉ; RÉVISION(DÉCISION); ORDONNANCE PÉNALE; EXCÈS DE VITESSE; CONTRÔLE DE VITESSE; CONTRAVENTION; NOUVEAU MOYEN DE PREUVE; ABUS DE DROIT; FRAIS DE LA PROCÉDURE; REMBOURSEMENT DE FRAIS(SENS GÉNÉRAL); MOTIF DE RÉVISION | CPP.410.1.a; CPP.412.2; CPP.413.2.b; CPP.415.2; CPP.428.5</w:t>
      </w:r>
    </w:p>
    <w:p>
      <w:pPr>
        <w:pStyle w:val="Heading2"/>
      </w:pPr>
      <w:r>
        <w:t>Erwägungen</w:t>
      </w:r>
    </w:p>
    <w:p>
      <w:r>
        <w:rPr>
          <w:b/>
        </w:rPr>
        <w:t>E. 1</w:t>
      </w:r>
    </w:p>
    <w:p>
      <w:r>
        <w:t>La demande de révision a été formée devant l'autorité compétente et selon la forme prévue par la loi et n'est soumise à aucun délai particulier, sauf dans les cas visés à l'art. 410 al. 1 let b et al. 2 du Code de procédure pénale suisse du 5 octobre 2007 (CPP ; RS 312.0), qui n'entrent pas en ligne de compte en l'occurrence (art. 411 al. 1 et 2 dernière phrase CPP).</w:t>
      </w:r>
    </w:p>
    <w:p>
      <w:r>
        <w:rPr>
          <w:b/>
        </w:rPr>
        <w:t>E. 2</w:t>
      </w:r>
    </w:p>
    <w:p>
      <w:r>
        <w:t>2.1.1. 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 et les réf. citées).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2.1.2. Aux termes de l'art. 412 al. 2 CPP, la juridiction d'appel n'entre pas en matière sur la demande de révision si celle-ci est manifestement irrecevable ou non motivée ou si une demande de révision invoquant les mêmes motifs a déjà été rejetée par le passé (arrêt du Tribunal fédéral 6B_793/2014 du 20 janvier 2015 consid. 2.2 et les réf. citées). Une décision formelle sur la recevabilité de la requête de révision ne s'impose toutefois pas nécessairement, la juridiction d'appel pouvant examiner d'emblée le fond de la requête et se borner à admettre implicitement sa recevabilité (N. Schmid, Schweizerische Strafprozessordnung : Praxiskommentar , 2e éd. 2013, n. 5 ad art. 412). Par ailleurs, la juridiction d'appel peut rendre elle-même une nouvelle décision sur le fond si l'état du dossier le permet, notamment si de nouveaux débats contradictoires ne s'avèrent pas nécessaires (art. 413 al. 2 let. b CPP, G. Piquerez / A. Macaluso, Procédure pénale suisse , 3e édition, Genève 2011, n. 2109).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2.2.1. En l'espèce, le moyen de preuve offert par le demandeur doit être tenu pour nouveau. À l'évidence, le Service des contraventions, qui connaît d'infractions de masse, ne procède pas à l'examen de toutes les photographies des véhicules surpris en excès de vitesse pour les comparer avec les bases de données de ceux immatriculés afin de vérifier la concordance entre le modèle de véhicule contrôlé et celui auquel la plaque est associée. Partant, la présomption de connaissance du dossier par l'autorité pénale est renversée sur ce point et il doit être retenu que le moyen de preuve dont se prévaut le demandeur était inconnu de cette autorité. S'il est constant que le demandeur ne s'est pas opposé en temps utiles à l'ordonnance pénale querellée, sans être valablement empêché de le faire, on ne saurait considérer que sa seule négligence constitue un motif de refus d'entrée en matière. Tout comme on ne peut reprocher au Service des contraventions de ne pas systématiquement procéder à la vérification sus-évoquée, on ne peut pas non plus exiger des justiciables qu'ils doutent par principe des contraventions notifiées et exigent la délivrance des photographies prise par le radar. Au contraire, la confiance des justiciables en l'autorité rend compréhensible qu'il ne remette pas systématiquement en cause une " simple amende d'ordre ". Aussi, on ne saurait qualifier le demandeur de négligent parce qu'il n'a pas eu des doutes et n'a réagi que tardivement. Dans ces conditions, la demande de révision sera jugée recevable. Le dossier étant complet, ce qui n'est d'ailleurs pas contesté, il est loisible à la Chambre de céans de statuer immédiatement sur le fond, toutes les parties ayant eu l'occasion de s'exprimer. 2.2.2. Le demandeur est parvenu à démontrer que le véhicule surpris en excès de vitesse et objet de l'ordonnance querellée n'est pas celui dont il est détenteur. Les cités ne le contestent pas et ne soutiennent par ailleurs pas qu'un autre élément permettrait de relier le demandeur audit véhicule. Dans ces conditions, il doit être retenu que l'accusation a échoué à apporter la preuve de la culpabilité du demandeur, alors qu'il lui incombait de le faire. La demande de révision étant ainsi fondée, la Chambre de céans annulera l'ordonnance querellée et acquittera l'intéressé du chef d'infraction à la Loi fédérale sur la circulation routière du 19 décembre 1958 (LCR ; RS 741.01).</w:t>
      </w:r>
    </w:p>
    <w:p>
      <w:r>
        <w:rPr>
          <w:b/>
        </w:rPr>
        <w:t>E. 3</w:t>
      </w:r>
    </w:p>
    <w:p>
      <w:r>
        <w:t>La demande en révision étant admise, l'État devra rembourser à son auteur le montant de l'amende d'ordre d'un montant de CHF 40.- (art. 415 al. 2 CPP).</w:t>
      </w:r>
    </w:p>
    <w:p>
      <w:r>
        <w:rPr>
          <w:b/>
        </w:rPr>
        <w:t>E. 4</w:t>
      </w:r>
    </w:p>
    <w:p>
      <w:r>
        <w:t>4.1.1. Selon l'art. 428 al. 1 CPP, applicable en l'absence de lex specialis , (F. Riklin, StPO Kommentar : Schweizerische Strafprozessordnung mit JStPO, StBOG und weiteren Erlassen , 2 e éd., Zurich 2014, n. 5 ad art. 428), les frais de la procédure de recours ( Rechtsmittel ) sont mis à la charge des parties dans la mesure où elles obtiennent gain de cause ou succombent.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 juridiction d'appel, dans le cas où elle admet la recevabilité d'une demande en révision et rend elle-même une nouvelle décision (art. 413 al. 2 let. b CPP), est tenue de se prononcer sur les frais de la première procédure selon son pouvoir d'appréciation (art. 428 al. 5 CPP). 4.1.2. Compte tenu de l'issue de la procédure, il convient de laisser à la charge de l'État les frais de la procédure de contravention et, par conséquent, de restituer ceux payés par le demandeur par CHF 100.-. La demande de révision ayant été admise, il ne sera pas perçu de frais dès lors qu'il ne saurait être reproché au demandeur un comportement abusif (cf. consid. 2.2.1. supra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