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P/20542/2017 vom 31. August 2018</w:t>
      </w:r>
    </w:p>
    <w:p>
      <w:r>
        <w:t>GE Cour de justice, 2018-08-31, FR</w:t>
      </w:r>
    </w:p>
    <w:p>
      <w:r>
        <w:rPr>
          <w:b/>
        </w:rPr>
        <w:t xml:space="preserve">Quelle: </w:t>
      </w:r>
      <w:r>
        <w:t>https://mcp.opencaselaw.ch/entscheid/ge_gerichte_P_20542_2017</w:t>
      </w:r>
    </w:p>
    <w:p>
      <w:r>
        <w:t>FR: GE_GERICHTE P/20542/2017 du 31 août 2018</w:t>
      </w:r>
    </w:p>
    <w:p>
      <w:r>
        <w:t>IT: GE_GERICHTE P/20542/2017 del 31 agosto 2018</w:t>
      </w:r>
    </w:p>
    <w:p>
      <w:pPr>
        <w:pStyle w:val="Heading2"/>
      </w:pPr>
      <w:r>
        <w:t>Regeste</w:t>
      </w:r>
    </w:p>
    <w:p>
      <w:r>
        <w:t>AVOCAT D'OFFICE ; DÉFENSE OBLIGATOIRE ; ÉTAT DE SANTÉ ; COMPLEXITÉ DE LA PROCÉDURE | CPP.130; CPP.132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estime tout d'abord que sa situation particulière appelle une défense obligatoire au sens de l'art. 130 let. c CPP.![endif]&gt;![if&gt;</w:t>
      </w:r>
    </w:p>
    <w:p>
      <w:r>
        <w:rPr>
          <w:b/>
        </w:rPr>
        <w:t>E. 3.1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(cf. art. 131 al. 1 CPP; ATF 131 I 350 consid. 2.1 p. 353; arrêt du Tribunal fédéral 1B_318/2014 du 27 octobre 2014 consid. 2.2 ; A. KUHN / Y. JEANNERET (éds), Commentaire romand : Code de procédure pénale suisse , Bâle 2011, n. 4 ad art. 131 CPP).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 1B_279/2014 du 3 novembre 2014 consid. 2.1.1 in SJ 2015 I p. 172, 1B_318/2014 du 27 octobre 2014 consid. 2.1 ; 1B_332/ 2012 du 15 août 2012 consid. 2.4). Dans la doctrine, l'hypothèse prévue à l'art. 130 let. c CPP est notamment réalisée lorsque le prévenu n'est plus à même d'assurer, intellectuellement ou physiquement, sa participation à la procédure, à l'image des cas visés par l'art. 114 al. 2 et 3 CPP (L. MOREILLON / A. PAREIN-REYMOND, Code de procédure pénale - Petit commentaire, Bâle 2016 , n. 15 ad art. 130). À titre d'incapacités personnelles, il peut s'agir de dépendances à l'alcool, aux stupéfiants, à des médicaments susceptibles d'altérer les capacités psychiques (L. MOREILLON / A. PAREIN-REYMOND, op. cit. , n. 16 ad art. 130), ainsi que de troubles mentaux sévères ou même légers (N. SCHMID, Praxiskommentar, Schweizerische Strafprozessordnung (StPO) , 2013, n. 9 ad art. 130 ; A. KUHN / Y. JEANNERET (éds), op. cit. , n. 30 ad art. 130).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(L. MOREILLON / A. PAREIN-REYMOND, op. cit. , n. 17 ad art. 130 ; M. NIGGLI / M. HEER / H. WIPRÄCHTIGER (éds), Strafprozessordnung – Jugendstrafprozessordnung, Basler Kommentar StPO/JStPO , 2e éd., Bâle 2014,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 ; A. KUHN / Y. JEANNERET (éds), op. cit. , n. 30 s. ad art. 130).</w:t>
      </w:r>
    </w:p>
    <w:p>
      <w:r>
        <w:rPr>
          <w:b/>
        </w:rPr>
        <w:t>E. 3.2</w:t>
      </w:r>
    </w:p>
    <w:p>
      <w:r>
        <w:t>En l'espèce, la conclusion de la recourante visant au constat qu'elle se trouverait dans un cas de défense obligatoire au sens de l'art. 130 al. 1 let. c CPP est recevable même si elle n'a pas été soumise en premier lieu au Ministère public, la question de la capacité de procéder devant être examinée d'office. La recourante allègue que les troubles psychiques dont elle souffre toujours en raison des violences domestiques subies ne lui permettent pas de se défendre sans l'assistance d'un avocat, ce que les attestations produites confirmaient. Il découle certes des éléments médicaux produits que la recourante semble connaître des problèmes psychiques sous forme de confusion, d'extrême angoisse et de reviviscences des épisodes de violence infligés par son ex-compagnon. Rien n'indique toutefois que ces difficultés l'empêchent de saisir les enjeux de la présente procédure. Les attestations produites se réfèrent en effet exclusivement aux évènements relatés par l'intéressée à ses médecins et à sa thérapeute, en lien avec les violences domestiques subies. Une procédure pénale distincte, dans laquelle la recourante revêt la qualité de partie plaignante, a été ouverte en ce qui les concerne. Dans le cadre de son recours contre le refus du Ministère public de lui désigner un conseil juridique gratuit dans ladite procédure, la recourante avait fait valoir avec succès que son état de santé ne lui permettait pas d'assurer elle-même la défense de ses intérêts, ce qui étaient précisément attesté par ses médecins (cf. ACPR/513/2018 consid. D. a.). Or, les attestations médicales dont se prévaut ici la recourante ne font aucunement mention de la présente procédure, dans laquelle elle est prévenue. Partant, elles ne démontrent pas la nécessité pour la recourante d'être assistée d'un avocat dans la présente cause. Le grief est ainsi infondé.</w:t>
      </w:r>
    </w:p>
    <w:p>
      <w:r>
        <w:rPr>
          <w:b/>
        </w:rPr>
        <w:t>E. 4</w:t>
      </w:r>
    </w:p>
    <w:p>
      <w:r>
        <w:t>La recourante estime, subsidiairement, réunir les conditions d'une défense d'office.![endif]&gt;![if&gt;</w:t>
      </w:r>
    </w:p>
    <w:p>
      <w:r>
        <w:rPr>
          <w:b/>
        </w:rPr>
        <w:t>E. 4.1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w:t>
      </w:r>
    </w:p>
    <w:p>
      <w:r>
        <w:rPr>
          <w:b/>
        </w:rPr>
        <w:t>E. 4.2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il convient surtout de tenir compte des circonstances particulières de l'espèce et de la peine concrètement encourue (arrêt du Tribunal fédéral 1B_138/2015 du 1er juillet 2015 consid. 2.3).</w:t>
      </w:r>
    </w:p>
    <w:p>
      <w:r>
        <w:rPr>
          <w:b/>
        </w:rPr>
        <w:t>E. 4.3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4.4</w:t>
      </w:r>
    </w:p>
    <w:p>
      <w:r>
        <w:t>Si les deux conditions mentionnées à l'art. 132 al. 2 CPP doivent être réunies cumulativement, il n'est pas exclu que l'intervention d'un défenseur soit justifiée par d'autres motifs, en particulier dans les cas où la désignation d'un défenseur est nécessaire pour garantir l'égalité des armes – ce principe requérant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 ou parce que l'issue de la procédure pénale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w:t>
      </w:r>
    </w:p>
    <w:p>
      <w:r>
        <w:rPr>
          <w:b/>
        </w:rPr>
        <w:t>E. 4.5</w:t>
      </w:r>
    </w:p>
    <w:p>
      <w:r>
        <w:t>En l'espèce, si l'indigence de la recourante est établie, rien ne laisse toutefois penser qu'elle s'exposerait concrètement à une peine supérieure à celle infligée dans l'ordonnance pénale frappée d'opposition, laquelle lui a infligé une sanction inférieure aux minimas précités, d'autant plus qu'elle n'a pas d'antécédent judiciaire. Par ailleurs, l'examen des circonstances du cas d'espèce permet de retenir que la cause ne présente pas de difficultés particulières du point de vue de l'établissement des faits ou des questions juridiques soulevées, que la recourante ne serait pas en mesure de résoudre seule. En effet, les faits reprochés et dispositions légales applicables sont clairement circonscrits et ne présentent aucune difficulté de compréhension pour la recourante qui est titulaire d'un brevet d'avocat et a même exercé ______. Elle a du reste admis les faits lors de son audition par la police du 27 février 2018 et expliqué le contexte dans lequel elle avait agi. Rien ne permet par ailleurs de retenir que d'autres motifs que ceux prévus à l'art. 132 al. 2 CPP justifieraient une défense d'office, la recourante n'alléguant ni ne rendant vraisemblable qu'elle subirait un net désavantage par rapport à la partie plaignante si elle n'était pas mise au bénéfice d'une défense d'office ou que l'issue de la cause revêtirait une importance particulière pour elle, étant relevé que toute condamnation pénale est, de par sa nature, susceptible d'avoir des conséquences sur la situation personnelle et professionnelle du condamné. Enfin, le fait que A______ ait été mise au bénéfice de l'assistance juridique dans le cadre de la P/1______, dans laquelle elle revêt la qualité de partie plaignante, ne signifie pas qu'elle peut y prétendre également ici, les motifs ayant commandé la désignation d'un conseil juridique gratuite résidant dans la complexité de l'affaire et la position du prévenu qui avait d'abord admis les faits avant de les contester, affirmant avoir été manipulé par la recourante durant toute leur relation, et frappé par cette dernière (cf. ACPR/513/2018 consid. 3.4.).</w:t>
      </w:r>
    </w:p>
    <w:p>
      <w:r>
        <w:rPr>
          <w:b/>
        </w:rPr>
        <w:t>E. 5</w:t>
      </w:r>
    </w:p>
    <w:p>
      <w:r>
        <w:t>Justifiée, la décision querellée sera donc confirmée.</w:t>
      </w:r>
    </w:p>
    <w:p>
      <w:r>
        <w:rPr>
          <w:b/>
        </w:rPr>
        <w:t>E. 6</w:t>
      </w:r>
    </w:p>
    <w:p>
      <w:r>
        <w:t>La procédure de recours contre un refus d'octroi de l'assistance juridique ne donne pas lieu à la perception de frais (art. 20 RAJ). Vu l'issue du recours, la recourante n'a en outre droit à aucune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