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P/20522/2020 vom 14. November 2021</w:t>
      </w:r>
    </w:p>
    <w:p>
      <w:r>
        <w:t>GE Cour de justice, 2021-11-14, FR</w:t>
      </w:r>
    </w:p>
    <w:p>
      <w:r>
        <w:rPr>
          <w:b/>
        </w:rPr>
        <w:t xml:space="preserve">Quelle: </w:t>
      </w:r>
      <w:r>
        <w:t>https://mcp.opencaselaw.ch/entscheid/ge_gerichte_P_20522_2020</w:t>
      </w:r>
    </w:p>
    <w:p>
      <w:r>
        <w:t>FR: GE_GERICHTE P/20522/2020 du 14 novembre 2021</w:t>
      </w:r>
    </w:p>
    <w:p>
      <w:r>
        <w:t>IT: GE_GERICHTE P/20522/2020 del 14 novembre 2021</w:t>
      </w:r>
    </w:p>
    <w:p>
      <w:pPr>
        <w:pStyle w:val="Heading2"/>
      </w:pPr>
      <w:r>
        <w:t>Regeste</w:t>
      </w:r>
    </w:p>
    <w:p>
      <w:r>
        <w:t>TENTATIVE(DROIT PÉNAL);VOL(DROIT PÉNAL);RÉVOCATION DU SURSIS;EXPULSION(DROIT PÉNAL);IN DUBIO PRO REO;ACQUITTEMENT | CP.139.al1; CP.22; CP.46.al1; CP.66a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1.1</w:t>
      </w:r>
    </w:p>
    <w:p>
      <w:r>
        <w:t>L'infraction à l'art. 139 ch. 1 CP est punie d'une peine privative de liberté de cinq ans au plus ou d'une peine pécuniaire alors que les infractions aux art. 186 CP et 119 al. 1 LEI retenues à son encontre sont passibles d'une peine privative de liberté de trois ans au plus ou d'une peine pécuniaire tandis que l'infraction à l'art. 115 al. 1 LEI l'est d'une année au plus ou d'une peine pécuniaire. Les autres infractions retenues contre l'appelant sont passible d'une peine pécuniaire ou de l'amende.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3.1.3.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w:t>
      </w:r>
    </w:p>
    <w:p>
      <w:r>
        <w:rPr>
          <w:b/>
        </w:rPr>
        <w:t>E. 2</w:t>
      </w:r>
    </w:p>
    <w:p>
      <w:r>
        <w:t>2.1. 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w:t>
      </w:r>
    </w:p>
    <w:p>
      <w:r>
        <w:rPr>
          <w:b/>
        </w:rPr>
        <w:t>E. 2.2</w:t>
      </w:r>
    </w:p>
    <w:p>
      <w:r>
        <w:t>En l’espèce,l'appelant allègue n'être entré dans le garage de C______ que dans l'unique but de se reposer. Or les images de vidéosurveillance démontrent le contraire. Si tel avait été son but, l'appelant aurait procédé à une inspection des lieux plus large qui ne se serait pas limitée immédiatement à tenter d'ouvrir la porte du véhicule stationné juste devant lui puis, instantanément, s'intéresser à une armoire pour la fouiller. Il aurait poussé son examen jusqu'au fond dudit garage afin de voir si de la place était disponible. Bien au contraire, lorsqu'il ouvre la porte de l'armoire, il est visiblement en train de passer en revue les différents objets s'y trouvant avant de s'intéresser plus à l'un d'entre eux qui n'a manifestement rien d'une couverture. La rapidité de son action et ses gestes prouvent qu'il recherche un objet dont il puisse s'emparer en vue de se l'approprier ceci compte tenu du contexte de ses agissements au milieu de la nuit. Le fait qu'il se soit introduit d'abord dans un garage est indifférent à la qualification juridique des faits, dès lors qu'un tel lieu est parfaitement susceptible d'accueillir des objets pouvant susciter l'intérêt d'un voleur. Au regard de ce qui précède, le jugement sera confirmé et l'appel rejeté sur ce point.</w:t>
      </w:r>
    </w:p>
    <w:p>
      <w:r>
        <w:rPr>
          <w:b/>
        </w:rPr>
        <w:t>E. 3</w:t>
      </w:r>
    </w:p>
    <w:p>
      <w:r>
        <w:t>1.</w:t>
      </w:r>
    </w:p>
    <w:p>
      <w:r>
        <w:rPr>
          <w:b/>
        </w:rPr>
        <w:t>E. 4</w:t>
      </w:r>
    </w:p>
    <w:p>
      <w:r>
        <w:t>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3.1.6.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S'il n'y a pas lieu de prévoir que le condamné commettra de nouvelles infractions, le juge renonce à ordonner la révocation et peut prononcer un avertissement et prolonger le délai d'épreuve de la moitié au plus de la durée fixée dans le jugement, ordonner une assistance de probation ou imposer des règles de conduite pour le délai d'épreuve ainsi prolongé (alinéa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 1.</w:t>
      </w:r>
    </w:p>
    <w:p>
      <w:r>
        <w:rPr>
          <w:b/>
        </w:rPr>
        <w:t>E. 4.1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146 IV 105 consid. 3.4.2 p. 108;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w:t>
      </w:r>
    </w:p>
    <w:p>
      <w:r>
        <w:rPr>
          <w:b/>
        </w:rPr>
        <w:t>E. 4.2</w:t>
      </w:r>
    </w:p>
    <w:p>
      <w:r>
        <w:t>En l'espèce, l'appelant tombe sous le coup d'une expulsion obligatoire. Il n'apparaît pas que celle-ci soit de nature à le mettre dans une situation personnelle grave ni que son intérêt privé l'emporte sur celui de la Suisse à le voir expulsé. L'appelant n'entretient aucun lien particulier avec le pays où il n'a résidé que depuis peu et en situation illégale. Il y est sous le coup d'une interdiction d'entrée et il n'y a aucun projet, ni famille alors qu'il a déjà été condamné à trois reprises, sans compter la présente condamnation. Par ailleurs, le dossier ne révèle aucunement qu'un retour dans son pays d'origine, où réside sa famille, puisse le mettre dans une situation personnelle grave, rien n'étant plaidé en ce sens. Il y a donc lieu de confirmer l'expulsion prononcée par le premier juge. Cela étant, il n'y a cependant pas lieu d'étendre la mesure d'expulsion prononcée à l'ensemble de l'espace Schengen, une telle extension n'étant pas nécessaire pour garantir la sécurité publique. 5. L'appelant, qui succombe pour l'essentiel, supportera le 90% des frais de la procédure envers l'État (art. 428 CPP). Il n'y a pas lieu de modifier les frais fixés en première instance. 6. Considéré globalement, l'état de frais produit par Me B______, défenseure d'office de A______ satisfait les exigences légales et jurisprudentielles régissant l'assistance judiciaire gratuite en matière pénale. La rémunération de M e B______ sera partant arrêtée à CHF 581.60 correspondant à deux heures quinze minutes d'activité au tarif de CHF 200.-/heure plus la majoration forfaitaire de 20% (CHF 90.-) et l'équivalent de la TVA au taux de 7.7% en CHF 41.60. * * * * *</w:t>
      </w:r>
    </w:p>
    <w:p>
      <w:r>
        <w:rPr>
          <w:b/>
        </w:rPr>
        <w:t>E. 7</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3.2.1. En l'espèce, la faute de l'appelant est d'une certaine gravité et ne saurait être minimisée. Il a agi au mépris des parties plaignantes, indifférent au trouble qu'il pouvait créer en s'introduisant au milieu de la nuit dans une propriété privée en vue d'une appropriation illégitime. Si la période pénale est courte en rapport aux faits précités pour lesquels il a agi égoïstement et en fonction de ses intérêts propres, il a fait également prédominer ces derniers sur une période pénale conséquente en faisant preuve d'une indifférence totale aux interdits que lui signifiaient les autorités alors qu'il se savait pertinemment en séjour illégal, de même qu'il savait faire l'objet d'une interdiction de pénétrer sur le territoire genevois et cela en ne tenant compte ni des avertissements et mises en garde que constituaient ses condamnations antérieures, ni de celle correspondant à son interpellation à fin octobre 2020. Il a de surcroît commis des infractions contre l'autorité publique, en récidive, n'hésitant pas à attenter à l'honneur d'un gendarme. Sa prise de conscience est relative dès lors qu'il continue de minimiser les faits en les niant en partie. Sa collaboration ne peut ainsi être qualifiée de bonne, même s'il a admis la plupart des faits qu'il ne pouvait cependant guère contester, étant relevé qu'il sera tenu compte en sa faveur de son admission des circonstances de son séjour illégal. Même difficile, sa situation personnelle n'explique pas ses actes dans la mesure où il paraît n'avoir entrepris aucune action personnelle de nature à lui éviter de commettre des actes illicites. Le genre de peine consistant en une peine privative de liberté n'est pas contesté par l'appelant et est justifié dans la mesure non seulement de ses antécédents récents mais également au vu de sa situation personnelle précaire. L'infraction la plus grave est la tentative de vol. Même atténuée par le fait que cette infraction soit restée inachevée, la peine privative de liberté de base à prononcer est d'au moins 60 jours concernant le vol, l'appelant n'ayant pas hésité, en vue d'une appropriation illégitime, à attenter à la liberté des occupants des lieux au milieu de la nuit. À cela devrait s'ajouter une peine privative de liberté de 20 jours (peine hypothétique de 30 jours) pour la violation de domicile, une peine privative de liberté de 20 jours (peine hypothétique de 30 jours) pour la violation de l'interdiction de pénétrer dans une région déterminée et une peine privative de liberté de 40 jours (peine hypothétique de 60 jours) pour le séjour illégal commis en récidive multiples et sur une période pénale de plusieurs mois. La peine privative de liberté que la Cour pourrait prononcer serait ainsi supérieure à celle prononcée par le TP mais l'interdiction de la reformatio in pejus conduit ainsi à la confirmation de la peine prononcée en première instance. L'appel est ainsi rejeté sur ce point. 3.2.2. Au vu de ce qui précède, la révocation du sursis du 15 décembre 2019 et la fixation d'une peine pécuniaire d'ensemble est justifiée. L'appelant a été mis en garde lors de ses trois condamnations précédentes sans que cela ne l'incite à changer de comportement. Le sursis du 15 décembre 2019 avait déjà été prolongé en janvier 2020 mais l'appelant n'en a eu cure. Le pronostic à son égard est défavorable et rien ne dit que la peine privative de liberté subie sera effectivement de nature à lui faire reprendre un chemin où il s'écartera d'agissements illicites, étant relevé qu'aucun argument n'a été développé à cet égard, ni ne repose sur des éléments objectifs au dossier. La fixation de la peine d'ensemble à 60 jours-amende apparaît relativement clémente en regard de la nouvelle infraction contre l'autorité qui doit être sanctionnée ainsi que le délit contre l'honneur. L'appel sera donc rejeté sur ce point également.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