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P/20502/2024 vom 4. Dezember 2024</w:t>
      </w:r>
    </w:p>
    <w:p>
      <w:r>
        <w:t>GE Cour de justice, 2024-12-04, FR</w:t>
      </w:r>
    </w:p>
    <w:p>
      <w:r>
        <w:rPr>
          <w:b/>
        </w:rPr>
        <w:t xml:space="preserve">Quelle: </w:t>
      </w:r>
      <w:r>
        <w:t>https://mcp.opencaselaw.ch/entscheid/ge_gerichte_P_20502_2024</w:t>
      </w:r>
    </w:p>
    <w:p>
      <w:r>
        <w:t>FR: GE_GERICHTE P/20502/2024 du 4 décembre 2024</w:t>
      </w:r>
    </w:p>
    <w:p>
      <w:r>
        <w:t>IT: GE_GERICHTE P/20502/2024 del 4 dicembre 2024</w:t>
      </w:r>
    </w:p>
    <w:p>
      <w:pPr>
        <w:pStyle w:val="Heading2"/>
      </w:pPr>
      <w:r>
        <w:t>Regeste</w:t>
      </w:r>
    </w:p>
    <w:p>
      <w:r>
        <w:t>DÉFENSE D'OFFICE;COMPLEXITÉ DE LA PROCÉDURE;DIRECTIVE 2008/115/CE;RETOUR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p. 169 ss).</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du 25 juillet 2023 consid. 2.1.2).</w:t>
      </w:r>
    </w:p>
    <w:p>
      <w:r>
        <w:rPr>
          <w:b/>
        </w:rPr>
        <w:t>E. 2.3</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La Directive sur le retour poursuit la mise en place d'une politique efficace d'éloignement et de rapatriement fondée sur des normes communes, afin que les personnes concernées soient rapatriées de façon humaine et dans le respect intégral de leurs droits fondamentaux ainsi que leur dignité.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La Cour de justice de l'Union européenne a toutefois souligné que les ressortissants étrangers ayant, outre le séjour irrégulier, commis un ou plusieurs autres délits pouvaient, dans les hypothèses visées par l'art. 2 par. 2 let. b de la Directive sur le retour, c'est-à-dire en cas d'expulsion judiciaire prononcée comme sanction pénale ou de procédure d'extradition, être soustraits au champ d'application de ladite directive (arrêts du Tribunal fédéral 6B_196/2012 du 24 janvier 2013 consid. 2.1.1 ; 6B_320/2013 du 29 août 2013 consid. 3.2 et les références citées). Il ressort de la jurisprudence fédérale que lorsqu'une personne a déjà été condamnée pour des infractions à la LEI et que la question de son renvoi dans son pays d'origine a déjà été traitée, la cause peut être considérée comme ne présentant pas de difficultés particulières en fait ou en droit justifiant l'intervention d'un avocat (arrêt du Tribunal fédéral 1B_68/2015 du 29 avril 2015 consid. 2.3). 2.4.1. L'art. 95 al. 1 let. a LCR punit d’une peine privative de liberté de trois ans au plus ou d’une peine pécuniaire celui qui conduit un véhicule automobile sans être titulaire du permis de conduire requis. En cas de violations des articles 42 à 44 OAC, portant sur les conducteurs de véhicules automobiles en provenance de l’étranger, l'art. 95 al. 1 let. a LCR s'applique (Y. JEANNERET, Les dispositions pénales de la Loi sur la circulation routière [LCR], Berne 2007, n. 9 ad art. 95). Dans le contexte de l'art. 95 al. 1 let. a LCR, est seule déterminante la question de savoir si l'autorisation de conduire a été accordée ou non par l'autorité, sans égard au fait que le document soit ou non en possession du conducteur. Le fait de ne pas être porteur du permis de conduire, en tant que document, est réprimé par le biais de l'art. 99 ch. 3 LCR (Y. JEANNERET, op. cit ., n. 7 ad art. 95). Tant l'intention que la négligence sont punissables (art. 100 ch. 1 al. 1 LCR). 2.4.2. Selon l'art. 42 al. 3bis let. a OAC, les conducteurs de véhicules automobiles en provenance de l'étranger qui résident depuis plus de douze mois en Suisse sans avoir séjourné plus de trois mois consécutifs à l'étranger sont tenus d'obtenir un permis de conduire suisse. La validité du permis national est donc limitée à ses conditions (ATF 129 II 175 consid. 2.2). Un conducteur qui conduit un véhicule automobile alors qu'il se trouve dans la situation décrite à l'art. 42 al. 3bis let. a OAC et que, ce nonobstant, il n'a pas sollicité un permis suisse, encourt exclusivement la sanction de l'art. 147 ch. 1 al. 1 OAC (Y.  JEANNERET, op. cit ., n. 65 ad art. 95 ; C. MIZEL, Droit et pratique illustrée du retrait du permis de conduire , Berne 2015, p. 517).</w:t>
      </w:r>
    </w:p>
    <w:p>
      <w:r>
        <w:rPr>
          <w:b/>
        </w:rPr>
        <w:t>E. 2.5</w:t>
      </w:r>
    </w:p>
    <w:p>
      <w:r>
        <w:t>En l'espèce, la question de l'indigence du recourant, non examinée par le Ministère public dans l'ordonnance querellée, peut demeurer indécise au vu de ce qui suit. En l'état, le recourant a fait l'objet d'une ordonnance pénale, le 6 septembre 2024 – à laquelle il a formé opposition – le condamnant à une peine privative de liberté de 120 jours, assortie du sursis, de sorte que la cause est de peu de gravité. Même si l'on tient compte d'un éventuel risque d'aggravation de la peine par le Tribunal de police – dans la mesure où le Ministère public maintiendrait son ordonnance pénale et transmettrait le dossier à cette juridiction –, force est de constater que le recourant resterait, nonobstant ses deux antécédents judiciaires en Suisse, concrètement passible d'une peine moins élevée que celle au-delà de laquelle on peut considérer que l'affaire n'est pas de peu de gravité selon l'art. 132 al. 3 CPP. Il sied de rappeler que les peines abstraitement encourues ne sont pas déterminantes dans l'examen de la gravité de la cause. La révocation du sursis prononcé le 7 janvier 2020, à la peine de 60 jours-amende, dont le délai d'épreuve a été prolongé au 6 janvier 2024, s'avère peu probable, ce qui est d'ailleurs la position du Ministère public aux termes de son ordonnance pénale. En outre, l'examen des circonstances du cas d'espèce permet de retenir que la cause ne présente pas de difficultés particulières, du point de vue de l'établissement des faits, s'agissant d'une interpellation alors que le recourant conduisait la voiture d'un tiers et n'avait pas pu présenter de permis de conduire. S'il soutient être au bénéfice d'un tel permis en Algérie, il pourra le démontrer sans difficulté puisqu'il a affirmé à la police que " quelqu'un de la famille " pourrait lui en envoyer une photographie. Il n'a donc pas besoin d'un avocat pour l'assister sur ce point. Il pourra tout aussi bien s'exprimer seul sur les éventuelles dispositions qu'il aurait prises pour obtenir un permis de conduire suisse, dès lors qu'il réside dans notre pays depuis 2019. Il peut également demander, s'il l'estime opportun, que le détenteur de la voiture soit entendu sur sa crise de diabète. Quant au séjour illégal en Suisse, il est admis. S'agissant encore de la nature de la peine à laquelle le recourant est exposé, quand bien même il ne s'agit pas là de l'objet du litige, le Ministère public n'avait pas à l'entendre avant de prononcer une peine privative assortie du sursis – et non ferme comme soutenu à tort par le prévenu dans son recours –. Enfin, quand bien même l'ordonnance pénale retient une peine privative de liberté à l'encontre du recourant, ce type de peine s'avère conforme à la Directive sur le retour, en cas de condamnation à l'art. 95 let. a LCR en sus d'une infraction à l'art. 115 al. 1 let. b LEI. En tout état, il est rappelé qu'il revient au Ministère public puis au Tribunal de police d'appliquer le droit, en vertu du principe jura novit curia . Ainsi, les faits et dispositions applicables sont clairement circonscrits et ne présentent aucune difficulté de compréhension ou d'application. Le recourant s'est déjà exprimé à la police à leur égard, en français, sans l'aide d'un avocat ni d'un interprète. Il a ainsi parfaitement compris ce qui lui était reproché et a su donner, seul, des explications précises. En définitive, les conditions cumulatives à l'application de l'art. 132 CPP font défaut. C'est donc à juste titre que le Ministère public a refusé de mettre le recourant au bénéfice d'une défense d'office.</w:t>
      </w:r>
    </w:p>
    <w:p>
      <w:r>
        <w:rPr>
          <w:b/>
        </w:rPr>
        <w:t>E. 3</w:t>
      </w:r>
    </w:p>
    <w:p>
      <w:r>
        <w:t>Le recours est donc infondé, ce que la Chambre de céans pouvait constater d'emblée, sans échange d'écritures ni débats (art. 390 al. 2 et 5 a contrario CPP).</w:t>
      </w:r>
    </w:p>
    <w:p>
      <w:r>
        <w:rPr>
          <w:b/>
        </w:rPr>
        <w:t>E. 4</w:t>
      </w:r>
    </w:p>
    <w:p>
      <w:r>
        <w:t>La procédure de recours contre le refus de l'octroi de l'assistance juridique ne donne pas lieu à la perception de frais (art. 20 RAJ).</w:t>
      </w:r>
    </w:p>
    <w:p>
      <w:r>
        <w:rPr>
          <w:b/>
        </w:rPr>
        <w:t>E. 5</w:t>
      </w:r>
    </w:p>
    <w:p>
      <w:r>
        <w:t>La demande de défense d'office pour le dépôt du recours sera rejetée, au vu des motifs sus-développés et l'issue de la démarche. Le recourant n'ayant pas gain de cause, il n'a pas non plus droit à une indemnité au sens de l'art.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