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P/2048/2014 vom 27. Oktober 2016</w:t>
      </w:r>
    </w:p>
    <w:p>
      <w:r>
        <w:t>GE Cour de justice, 2016-10-27, FR</w:t>
      </w:r>
    </w:p>
    <w:p>
      <w:r>
        <w:rPr>
          <w:b/>
        </w:rPr>
        <w:t xml:space="preserve">Quelle: </w:t>
      </w:r>
      <w:r>
        <w:t>https://mcp.opencaselaw.ch/entscheid/ge_gerichte_P_2048_2014</w:t>
      </w:r>
    </w:p>
    <w:p>
      <w:r>
        <w:t>FR: GE_GERICHTE P/2048/2014 du 27 octobre 2016</w:t>
      </w:r>
    </w:p>
    <w:p>
      <w:r>
        <w:t>IT: GE_GERICHTE P/2048/2014 del 27 ottobre 2016</w:t>
      </w:r>
    </w:p>
    <w:p>
      <w:pPr>
        <w:pStyle w:val="Heading2"/>
      </w:pPr>
      <w:r>
        <w:t>Regeste</w:t>
      </w:r>
    </w:p>
    <w:p>
      <w:r>
        <w:t>LOI FÉDÉRALE SUR LA CIRCULATION ROUTIÈRE; CIRCULATION ROUTIÈRE(DROIT DE LA CIRCULATION ROUTIÈRE); ERREUR SUR LES FAITS(EN GÉNÉRAL); SURSIS À L'EXÉCUTION DE LA PEINE; FIXATION DE LA PEINE; PEINE; FRAIS DE LA PROCÉDURE; INDEMNITÉ(EN GÉNÉRAL) | LCR.90.3; LCR.90.4; CP.13; CP.42.1; CP.47.1; CPP.428; CPP.429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A teneur de l'art. 90 al. 4 LCR, l'al. 3 est toujours applicable lorsque la vitesse maximale autorisée a été dépassée : d'au moins 40 km/h, là où la limite était fixée à 30 km/h (let. a) ; d'au moins 50 km/h, là où la limite était fixée à 50 km/h (let. b) ; d'au moins 60 km/h, là où la limite était fixée à 80 km/h (let. c) ; d'au moins 80 km/h, là où la limite était fixée à plus de 80 km/h (let. d). L'art. 90 al. 3 et 4 LCR, entré en vigueur le 1 er janvier 2013, consacre une troisième catégorie d'infraction aux règles de la circulation routière sous la forme d'un crime (cf. art. 90 al. 1 LCR constituant une contravention et 90 al. 2 LCR un délit).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3.3 ; ATF 142 IV 137 consid. 3.3 p. 140).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p. 151 ; arrêt du Tribunal fédéral 6B_700/2015 du 14 septembre 2016).</w:t>
      </w:r>
    </w:p>
    <w:p>
      <w:r>
        <w:rPr>
          <w:b/>
        </w:rPr>
        <w:t>E. 2.2</w:t>
      </w:r>
    </w:p>
    <w:p>
      <w:r>
        <w:t>Selon l'art. 16 al. 2 de l'ordonnance sur la signalisation routière du 5 septembre 1979 (OSR - RS 741.21), la prescription annoncée vaut à l'endroit ou à partir de l'endroit où le signal est placé, jusqu'à la fin de la prochaine intersection ; à cet endroit, le signal sera répété si sa validité doit s'étendre au-delà. Le même article dispose par ailleurs que le signal " vitesse maximale 50, limite générale " s'applique dans toute la zone bâtie de façon compacte à l'intérieur des localités. L'art. 22 al. 3 OSR précise que le début de la limitation générale de vitesse à 50 km/h sera annoncé par le signal " vitesse maximale 50, limite générale " dès qu'il existe une zone bâtie de façon compacte sur l'un des deux côtés de la route. La fin de la limitation générale de vitesse à 50 km/h sera indiquée par le signal " fin de la vitesse maximale 50, limite générale " ; ce signal sera placé à partir de l'endroit où ni l'un ni l'autre des côtés de la route n'est bâti d'une façon compacte. De même, selon l'art. 4a al. 2 de l'ordonnance sur les règles de la circulation routière du 13 novembre 1962 (OCR - RS 741.11), la limitation générale de vitesse à 50 km/h s'applique dans toute la zone bâtie de façon compacte à l'intérieur de la localité ; cette limitation commence au signal " vitesse maximale 50, limite générale " et se termine au signal " fin de la vitesse maximale 50, limite générale ". Selon l'art. 1 al. 8 OCR, sont des intersections les croisées, bifurcations ou débouchés de chaussées. Ne sont pas des intersections les endroits où débouchent sur la chaussée des pistes cyclables, des chemins ruraux ou des sorties de garages, de places de stationnement, de fabriques, de cours, etc… Selon la jurisprudence applicable en matière de priorités, lorsqu'un embranchement ne peut être assimilé sans hésitation aux exemples mentionnés, l'on s'appuie, pour déterminer s'il s'agit ou non d'une intersection au sens de l'art. 1 al. 8 OCR, sur l'importance pour le trafic de la chaussée en cause, en particulier par rapport à la route sur laquelle elle débouche (ATF 127 IV 91 consid. 2 bb et les références citées). Ainsi, les ruelles qui ne sont ouvertes qu'à un nombre déterminé de personnes ou qui, de même que les culs-de-sac, ne desservent que quelques maisons, sont d'une importance tellement secondaire au regard des routes de transit qu'elles ne bénéficient pas de la priorité lorsqu'elles débouchent sur celles-ci ( AARP/160/2012 du 30 mai 2012 consid. 2.2.2 ; ATF 112 IV 88 consid. 2).</w:t>
      </w:r>
    </w:p>
    <w:p>
      <w:r>
        <w:rPr>
          <w:b/>
        </w:rPr>
        <w:t>E. 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 3 décembre 2009 consid. 1.1 et les références citées).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arrêts du Tribunal fédéral 6B_220/2015 du 10 février 2016 consid. 3.4.1 et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w:t>
      </w:r>
    </w:p>
    <w:p>
      <w:r>
        <w:rPr>
          <w:b/>
        </w:rPr>
        <w:t>E. 2.4</w:t>
      </w:r>
    </w:p>
    <w:p>
      <w:r>
        <w:t>En l'espèce, l'appelant vit en France voisine et emprunte quotidiennement la chaussée où a été enregistré l'excès de vitesse de 58 km/h commis le 18 juillet 2013, pour se rendre à son travail à Meyrin. Il connaît ainsi parfaitement les lieux. Les photos figurant à la procédure montrent le panneau indiquant le village D______ et la limitation générale de vitesse à 50 km/h, bien avant la douane suisse, lorsqu'on circule en direction de la France. En sens inverse, le même panneau marquant le début de la limitation de vitesse à 50 km/h est aussi placé bien avant la douane suisse. Il est donc évident pour tout usager de la route que la douane ne se trouve pas à la frontière, mais plusieurs centaines de mètres avant, situation qui n'est pas unique dans la zone frontière entre la Suisse et la France. Jusqu'au poste de douane, la chaussée est bordée de champs sur la droite et d'habitations sur la gauche. Après la douane, la route est bordée par des habitations à droite et des champs sur la gauche. Un panneau " service fiscal, passage interdit … " situe la frontière. Plus loin se trouve l'ancienne guérite de la douane française, qui n'est plus utilisée mais que l'on ne peut confondre avec un arrêt de bus, surtout si l'on passe à cet endroit plusieurs fois par jour, ce qui est le cas de l'appelant. Juste après le bâtiment de la douane suisse, se trouvent divers panneaux suisses. La route F______ est indiquée comme étant un cul-de-sac dont l'accès est interdit aux véhicules, sauf aux riverains, alors que la rue E______ est également interdite à la circulation, à l'exception des services agricoles et communaux. Ces débouchés sont à ce point secondaires par rapport à l'artère principale et très fréquentée qu'est l'avenue C______, qu'il ne constituent pas une intersection au sens de l'art. 1 al. 8 OCR. Il n'était donc pas nécessaire de répéter la limitation de vitesse après le passage de la douane suisse. Le tronçon à vitesse limitée était ainsi correctement signalé, dans les deux sens de marche et à ses deux extrémités, de sorte que la limite à 50 km/h devait être respectée dans toute cette zone, que les habitations y soient plus ou moins nombreuses selon les endroits ne jouant aucun rôle. Enfin, le nombre des automobilistes ayant commis des excès de vitesse le soir des faits ne fait que témoigner de la vitesse élevée à laquelle ils roulaient, profitant d'un tronçon rectiligne, à un moment où la circulation était fluide. La signalisation étant conforme à la loi et la situation parfaitement claire, l'appelant savait qu'il se trouvait sur territoire suisse et ne peut se prévaloir d'une erreur sur les faits au sens de l'art. 13 CP. Ainsi, sur le plan objectif, l'excès de vitesse commis par l'appelant est constitutif d'infraction à l'art. 90 al. 3 et 4 let. b LCR. Selon la jurisprudence du Tribunal fédéral citée ci-dessus, un tel comportement implique généralement l'impossibilité d'éviter un grand risque d'accident en cas d'obstacle ou de perte de maîtrise du véhicule. Seules des circonstances particulières permettent d'exclure le dol éventuel, le juge ne conservant sur ce point qu'un pouvoir d'appréciation restreint. Or, l'appelant n'allègue aucune des circonstances visées par la jurisprudence. Il rentrait de son travail dans la soirée, n'a pas prétendu avoir dû rouler très vite pour un motif sérieux et n'a pas mis en cause un éventuel dysfonctionnement de son véhicule. L'excès de vitesse a donc été commis par pure convenance personnelle. Au vu de ce qui précède, l'infraction a bien été commise intentionnellement, soit par dol éventuel. Le verdict de culpabilité prononcé par le premier juge sera ainsi confirmé, nonobstant le changement intervenu dans la jurisprudence.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L'art. 90 al. 3 LCR prévoit le prononcé d'une peine privative de liberté d'un an au moins et de quatre ans au plus. Le comportement de l'appelant dénote d'un certain mépris des lois. Il a pris le risque de causer un accident grave en cas d'obstacle ou de perte de maîtrise de son véhicule, alors que rien ne l'y obligeait. Sa faute est grave. Il avait admis les faits en début de procédure, avant de tenter par tous les moyens d'échapper à ses responsabilités. Rien dans sa situation personnelle n'explique qu'il ait agi ainsi. Aucune circonstance atténuante ne permettant de prononcer une peine inférieure à un an, la décision du premier juge doit être confirmée, avec la précision que le sursis, dont les conditions sont réalisées, vu l'absence d'antécédent, est acquis à l'appelant. La durée du délai d'épreuve, non contestée et de nature à dissuader l'appelant de récidiver, est adéquate et sera confirmée. L'appel sera rejeté.</w:t>
      </w:r>
    </w:p>
    <w:p>
      <w:r>
        <w:rPr>
          <w:b/>
        </w:rPr>
        <w:t>E. 4</w:t>
      </w:r>
    </w:p>
    <w:p>
      <w:r>
        <w:t>L'issue de la procédure d'appel conduit au rejet des conclusions de l'appelant tendant à l'indemnisation de ses frais de défense (art. 429 CPP).</w:t>
      </w:r>
    </w:p>
    <w:p>
      <w:r>
        <w:rPr>
          <w:b/>
        </w:rPr>
        <w:t>E. 5</w:t>
      </w:r>
    </w:p>
    <w:p>
      <w:r>
        <w:t>L'appelant, qui succombe, supportera les frais de la procédure d'appel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