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P/20460/2009 vom 10. September 2012</w:t>
      </w:r>
    </w:p>
    <w:p>
      <w:r>
        <w:t>GE Cour de justice, 2012-09-10, FR</w:t>
      </w:r>
    </w:p>
    <w:p>
      <w:r>
        <w:rPr>
          <w:b/>
        </w:rPr>
        <w:t xml:space="preserve">Quelle: </w:t>
      </w:r>
      <w:r>
        <w:t>https://mcp.opencaselaw.ch/entscheid/ge_gerichte_P_20460_2009</w:t>
      </w:r>
    </w:p>
    <w:p>
      <w:r>
        <w:t>FR: GE_GERICHTE P/20460/2009 du 10 septembre 2012</w:t>
      </w:r>
    </w:p>
    <w:p>
      <w:r>
        <w:t>IT: GE_GERICHTE P/20460/2009 del 10 settembre 2012</w:t>
      </w:r>
    </w:p>
    <w:p>
      <w:pPr>
        <w:pStyle w:val="Heading2"/>
      </w:pPr>
      <w:r>
        <w:t>Regeste</w:t>
      </w:r>
    </w:p>
    <w:p>
      <w:r>
        <w:t>; ENCHÈRES ; DROIT CANTONAL ; ERREUR DE DROIT(DROIT PÉNAL) ; ERREUR SUR LES FAITS(DROIT PÉNAL) ; AMENDE | LVVE.5; LVVEE.1; CP.13; CP.21; CP.52; CP.106</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sous réserve de décisions illégales ou inéquitables (art. 404 al. 2 CPP). En matière contraventionnelle, son pouvoir d'examen est en outre limité à la violation du droit en application de l'article 398 alinéa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 ibid. ).</w:t>
      </w:r>
    </w:p>
    <w:p>
      <w:r>
        <w:rPr>
          <w:b/>
        </w:rPr>
        <w:t>E. 2</w:t>
      </w:r>
    </w:p>
    <w:p>
      <w:r>
        <w:t>L’appelant conclut à son acquittement du chef de violation de l'art. 5 LVVE.</w:t>
      </w:r>
    </w:p>
    <w:p>
      <w:r>
        <w:rPr>
          <w:b/>
        </w:rPr>
        <w:t>E. 2.1</w:t>
      </w:r>
    </w:p>
    <w:p>
      <w:r>
        <w:t>L'art. 1 al. 1 LVVE dispose que toute vente volontaire aux enchères publiques d'objets mobiliers doit être faite par l'intermédiaire d'un huissier judiciaire. Une telle vente doit être préalablement autorisée par le département, à la demande de l'huissier requis d'y procéder (art. 5 al. 1er LVVE). Elle doit être précédée d'une publicité suffisante faite à différentes reprises, au moins 8 jours à l'avance, par affiches ou par annonces dans les journaux, mais en tout cas une fois par la voie de la Feuille d'avis officielle, et d'une exposition publique des objets à vendre, sauf dispense accordée par le département (art. 6 al. 1 LVVE). Le canton de Genève a promulgué la LVVE, entrée en vigueur le 1er janvier 1984, en application de l'art. 236 de la loi fédérale du 30 mars 1911, complétant le Code civil suisse (CO, Code des obligations ; RS 220) permettant aux cantons d'édicter d'autres règles que celles du CO en matière d'enchères publiques, pourvu qu'elles ne dérogent pas au droit fédéral. Selon le législateur, il s'agissait de mieux réglementer les ventes, en définissant en particulier le rôle et les obligations de l'huissier judiciaire, d'assurer la transparence des opérations, notamment en empêchant les adjudications fictives et d'éviter le commerce d'objets de provenance douteuse (cf. Mémorial des séances du Grand Conseil 1981 p. 3274). Il n'existe pas de définition de la vente aux enchères privées dans la loi. Il y a donc lieu d'appliquer a contrario les critères de la vente aux enchères publiques (arrêt du Tribunal fédéral 2C_975/2010 consid. 4.4.) Pour définir la vente aux enchères volontaires privées, la doctrine part a contrario de l'art. 229 al. 2 CO relatif à la vente aux enchères volontaires publiques, dont découlent trois conditions. Il faut que la vente soit annoncée publiquement, que toutes les offres soient admises, c'est-à-dire sans limitation du cercle des personnes ayant le droit de participer à la vente et d'y faire des offres, et que la vente soit volontaire, ce qui implique qu'elle ait été décidée par le vendeur lui-même (RUOSS, BK, OR I, 4ème éd. n. 3 à 6 ad art. 229; ZELLWEGER-GUTKNECHT, Präjudizienbuch OR, 7ème éd. n. 2 ad art. 229 p. 594 cités in arrêt du Tribunal fédéral 2C_975/2010 consid. 4.4.). Selon l'art. 20 al. 1 LVVE, les contrevenants à la LVVE sont passibles d'une amende. 2.2.1 L'art. 13 CP dispose que celui qui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2.2.2 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2.3.1 En l'espèce, il n'est pas contesté par l'appelant que la vente aux enchères du 15 novembre 2009 n'a pas été faite par l'intermédiaire d'un huissier judiciaire et n'a pas été autorisée par le Service contrairement aux conditions des articles 1 et 5 LVVE. L'appelant tente toutefois à nouveau de revenir sur la qualification privée ou publique de la vente litigieuse. 2.3.2 Or, comme le relèvent à juste titre le Tribunal de police et le Tribunal fédéral, la vente du 15 novembre 2009 était annoncée sur le site internet de B______, avec la liste des objets à vendre et leur estimation. Un tel moyen de communication, même s'il ne touchait pas un nombre aussi élevé de personnes qu'une annonce publicitaire dans les journaux s'adressait à tout intéressé qui pouvait faire facilement le tour des ventes aux enchères. Selon la déclaration d'un témoin, les ventes aux enchères sont par ailleurs constituées d'un public averti. L'appelant ne pouvait dès lors ignorer que l'annonce par internet constituait une annonce publique. Il suffisait par ailleurs aux personnes désirant participer à l'événement de contacter la société qui leur adressait une invitation leur indiquant le lieu. Le fait que les ventes incriminées se déroulaient chez des particuliers ne suffisait pas à leur conférer un caractère privé. L'appelant qui avait connaissance de tous les éléments descriptifs de l'infraction ne peut pas être mis au bénéfice d'une erreur de faits. L'établissement des faits auquel le premier juge a procédé n'a dès lors rien de manifestement inexact ou d'arbitraire. 2.3.3 Enfin, la position du Service a toujours été sans équivoque quant au caractère public des ventes organisées les 28 septembre 2008 et 15 novembre 2009. Comme l'a relevé le Tribunal fédéral, à aucun moment le Service n'a pu faire croire à l'appelant que le caractère privé des ventes en question était reconnu et qu'il n'était pas nécessaire de demander une autorisation. L'autorité compétente ayant expressément attiré l'attention de l'appelant, ce dernier était conscient de son comportement illicite. L'appelant a également reconnu devant le Tribunal de police qu'il connaissait la position du Service lors de sa convocation à une séance en date du 10 novembre 2009. En décidant de ne pas se conformer à la décision prise par l'autorité compétente en la matière, l'appelant a fait le choix, en toute connaissance de cause, de violer la LVVE. Il ne peut en conséquence invoquer l'erreur de droit. 2.3.4 Le raisonnement du premier juge ne souffre d'aucune critique. Le jugement du Tribunal de police sera ainsi confirmé dans la mesure où il reconnaît l'appelant coupable d'infraction à l'art. 5 LVVE.</w:t>
      </w:r>
    </w:p>
    <w:p>
      <w:r>
        <w:rPr>
          <w:b/>
        </w:rPr>
        <w:t>E. 3</w:t>
      </w:r>
    </w:p>
    <w:p>
      <w:r>
        <w:t>L'appelant a été condamné à une amende de CHF 1'000.– dont il sollicite l'exemption.</w:t>
      </w:r>
    </w:p>
    <w:p>
      <w:r>
        <w:rPr>
          <w:b/>
        </w:rPr>
        <w:t>E. 3.1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3.2</w:t>
      </w:r>
    </w:p>
    <w:p>
      <w:r>
        <w:t>En l’espèce, la culpabilité de l'appelant n’est pas légère, puisqu'il a agi tout en sachant que son comportement était illicite. Il a par ailleurs persisté dans son comportement en continuant à organiser une vente qu'il qualifiait de privée malgré la décision de l'autorité compétente prise à son encontre. Le résultat de l'acte qui lui est reproché n’est pas non plus anodin compte tenu du bien juridique protégé, à savoir assurer la transparence des opérations, notamment en empêchant les adjudications fictives et éviter le commerce d'objets de provenance douteuse. Il ne peut dès lors être admis que tant sa culpabilité que les conséquences de son acte sont peu importantes au point qu’il puisse bénéficier d’une exemption de peine.</w:t>
      </w:r>
    </w:p>
    <w:p>
      <w:r>
        <w:rPr>
          <w:b/>
        </w:rPr>
        <w:t>E. 3.3</w:t>
      </w:r>
    </w:p>
    <w:p>
      <w:r>
        <w:t>L'amende infligée est dès lors adéquate tant au regard de la faute commise que de la situation personnelle de l’intéressé au moment du jugement (art. 106 al. 1 CP).</w:t>
      </w:r>
    </w:p>
    <w:p>
      <w:r>
        <w:rPr>
          <w:b/>
        </w:rPr>
        <w:t>E. 3.4</w:t>
      </w:r>
    </w:p>
    <w:p>
      <w:r>
        <w:t>La peine privative de liberté de substitution, fixée à dix jours, apparaît également appropriée en application de l’art. 106 al. 2 CP. Le jugement attaqué sera ainsi entièrement confirmé.</w:t>
      </w:r>
    </w:p>
    <w:p>
      <w:r>
        <w:rPr>
          <w:b/>
        </w:rPr>
        <w:t>E. 4</w:t>
      </w:r>
    </w:p>
    <w:p>
      <w:r>
        <w:t>L'appelant, qui succombe, sera condamné aux frais de la procédure d'appel (art. 428 CPP), qui comprennent une indemnité de CHF 1'000.–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