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P/2040/2023 vom 28. Oktober 2024</w:t>
      </w:r>
    </w:p>
    <w:p>
      <w:r>
        <w:t>GE Cour de justice, 2024-10-28, FR</w:t>
      </w:r>
    </w:p>
    <w:p>
      <w:r>
        <w:rPr>
          <w:b/>
        </w:rPr>
        <w:t xml:space="preserve">Quelle: </w:t>
      </w:r>
      <w:r>
        <w:t>https://mcp.opencaselaw.ch/entscheid/ge_gerichte_P_2040_2023</w:t>
      </w:r>
    </w:p>
    <w:p>
      <w:r>
        <w:t>FR: GE_GERICHTE P/2040/2023 du 28 octobre 2024</w:t>
      </w:r>
    </w:p>
    <w:p>
      <w:r>
        <w:t>IT: GE_GERICHTE P/2040/2023 del 28 ottobre 2024</w:t>
      </w:r>
    </w:p>
    <w:p>
      <w:pPr>
        <w:pStyle w:val="Heading2"/>
      </w:pPr>
      <w:r>
        <w:t>Regeste</w:t>
      </w:r>
    </w:p>
    <w:p>
      <w:r>
        <w:t>LÉSION CORPORELLE SIMPLE;LÉGITIME DÉFENSE;MENACE(DROIT PÉNAL);DISPOSITIONS PÉNALES DE LA LEI;FIXATION DE LA PEINE;CONCOURS D'INFRACTIONS;PEINE PRIVATIVE DE LIBERTÉ;PEINE PÉCUNIAIRE | CP.123.al1; CP.15; CP.180.al1; CP.286.al1; CP.47; LEI.115.leta; LEI.119.al1; CP.49; CP.40; CP.34</w:t>
      </w:r>
    </w:p>
    <w:p>
      <w:pPr>
        <w:pStyle w:val="Heading2"/>
      </w:pPr>
      <w:r>
        <w:t>Erwägungen</w:t>
      </w:r>
    </w:p>
    <w:p>
      <w:r>
        <w:rPr>
          <w:b/>
        </w:rPr>
        <w:t>E. 1.1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 6B_146/2016 du 22 août 2016 consid. 4.1). 2.2.1. L'art. 123 al. 1 aCP (applicable en tant que lex mitior en vertu de l'art. 2 al. 1 CP) réprime, sur plainte, le comportement de celui qui, intentionnellement, aura fait subir à une personne une autre atteinte à l’intégrité corporelle ou à la santé. Cette disposition réprime les lésions du corps humain ou de la santé qui ne peuvent être qualifiées de graves au sens de l'art. 122 CP. Elle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arrêt du Tribunal fédéral 6B_1283/2018 du 14 février 2019 consid. 2.1). 2.2.2. 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 e éd., Genève/Bâle/ Zurich 2011, n. 555, p. 189). 2.2.3. L'art. 180 al. 1 CP réprime, sur plainte, le comportement de celui qui, par une menace grave, aura alarmé ou effrayé une personne.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99 IV 212 consid. 1a ; arrêt du Tribunal fédéral 6B_578/2016 du 19 août 2016 consid. 2.1). Les menaces de lésions corporelles graves ou de mort doivent être considérées comme des menaces graves au sens de l'art. 180 CP, en particulier lorsqu'elles sont proférées à la suite de nombreuses brutalités (arrêt du Tribunal fédéral 6B_655/2007 du 11 avril 2008 consid. 8.2). Deuxièmement,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À défaut, il n'y a que tentative de menace (ATF 99 IV 212 consid. 1a). Sur le plan subjectif, l'auteur doit avoir l'intention non seulement de proférer des menaces graves, mais aussi d'alarmer ou d'effrayer le destinataire. Le dol éventuel suffit (arrêts du Tribunal fédéral 6B_787/2018 du 1 er octobre 2018 consid. 3.1 ; 6B_1009/2014 du 2 avril 2015 consid. 3.1 ; 6B_598/2011 du 27 juillet 2012 consid. 1.1). 2.2.4.1. En l'espèce, il est établi que, le 25 janvier 2023, l'appelant a eu une altercation avec C______. Dans ce cadre, il a, d'une part, admis avoir asséné à son adversaire des coups au visage et à la tête, lesquels ont causé à ce dernier des lésions à la lèvre et à l'arrière du crâne constatées le même jour par un médecin, tandis qu'il ne s'est lui-même plaint que d'une douleur au genou, sans plaie ni d'épanchement. D'autre part, il a reconnu avoir dit à C______ " Laisse-moi tranquille ou je vais te niquer ", un couteau à la main. L'appelant se prévaut du motif justificatif de la légitime défense. Or, à l'instar de ce qu'a retenu le premier juge, il ne saurait être suivi. En effet, en dépit de ce que soutient l'appelant, ce dernier n'a pas indiqué de façon constante que C______ avait initié la bagarre et qu'il n'avait fait que repousser son attaque. Au contraire, il a initialement déclaré à la police qu'il avait, le premier, tapé sur la tête de C______ au moyen d'une ceinture, après avoir été poussé par ce dernier. Quand bien même tel aurait été le cas, la riposte était manifestement disproportionnée, sans que cela ne soit excusable. Du propre aveu de l'appelant, il a, par la suite, encore asséné un coup au visage de C______, sans qu'il n'ait eu à se défendre d'un danger actuel ou imminent de sa part. Ce n'est que devant le MP, pour les besoins manifestes de sa cause, qu'il a tenté de soutenir que C______ lui avait donné un premier coup, auquel il aurait riposté, ainsi que d'autres coups au visage et sur le genou droit. Il l'avait lui-même frappé avec sa ceinture et ses poings, parce que ce dernier le suivait, alors qu'il souhaitait s'en éloigner, ce qui apparaît quoi qu'il en soit disproportionné. Conformément aux premières explications de l'appelant, C______ a également expliqué que ce dernier l'avait, le premier, frappé à la figure et à la tête, ce qui l'avait fait tomber. Ces éléments sont suffisants pour considérer que l'appelant a porté des coups à son adversaire sans avoir jamais eu à se défendre d'un quelconque danger actuel ou imminent de sa part. En outre, ses coups étaient disproportionnés. L'intimé a, du reste, présenté des lésions plus importantes que l'appelant, ce qui est, à tout le moins, de nature à corroborer le fait que l'appelant a fait preuve de plus de violence que nécessaire à son encontre. C______ ne s'est lui-même rendu coupable que de voies de fait. Pour le reste, les assertions de l'appelant quant à un traitement différencié dans la procédure en raison de sa couleur de peau sont sans fondement. Ses allégations de racisme formulées à l'encontre des autorités pénales sont injustifiées. Au surplus, tel que l'a relevé le MP, C______ a également fait l'objet d'une condamnation pour les mêmes faits. Enfin, le fait d'avoir dit à C______ " Laisse-moi tranquille ou je vais te niquer ", un couteau à la main, constituait objectivement une menace de nature à lui faire craindre des lésions corporelles plus graves ou un danger pour sa vie. L'intimé a concrètement été effrayé, ce que les cris entendus par la police attestent. 2.2.4.2. L'appelant a ainsi bien infligé intentionnellement à C______ des lésions corporelles simples et a sciemment émis une menace grave à son égard. Les verdicts de culpabilité rendus à son encontre des chefs d'infractions aux art. 123 ch. 1 al. 1 aCP et 180 al. 1 CP doivent ainsi être confirmés. 2.3.1. L'art. 286 CP réprime le comportement de celui qui empêche une autorité, un membre d'une autorité ou un fonctionnaire de faire un acte entrant dans ses fonctions. Pour qu'il y ait infraction à l'art. 286 CP, il faut que l'auteur, par son comportement, entrave l'autorité ou le fonctionnaire dans l'accomplissement d'un acte officiel. Il suffit que l'auteur rende plus difficile, entrave ou diffère l'accomplissement de l'acte officiel (ATF 133 IV 97 consid. 4.2 ; 127 IV 115 consid. 2, 124 IV 127 consid. 3a). Le comportement incriminé à l'art. 286 CP suppose une résistance qui implique une certaine activité (ATF 133 IV 97 consid. 4.2 ; 127 IV 115 consid. 2). Celle-ci est réalisée, par exemple, par le fait de prendre la fuite (ATF 120 IV 136 consid. 2a). L'infraction réprimée à l'art. 286 CP requiert l'intention, le dol éventuel étant suffisant. 2.3.2.1. L'appelant persiste à contester avoir fait l'objet du contrôle d'identité du 3 avril 2023 et ainsi avoir pris la fuite à la suite de celui-ci, soutenant que ce serait son colocataire, O______, ressortissant sénégalais lui ressemblant, qui aurait été concerné par ce contrôle, ayant tenté de traverser la frontière avec sa propre carte d'identité, et qui s'y était alors soustrait. Or, ses dénégations n'emportent pas conviction. D'une part, le gendarme ayant procédé audit contrôle a reconnu l'appelant et confirmé qu'il y avait eu une forte similitude entre la personne figurant sur la carte d'identité présentée, soit celle de l'appelant, et la personne appréhendée, sans qu'aucun élément ne commande de remettre en cause ces constatations policières. D'autre part, il est peu vraisemblable que O______, en tant que colocataire de l'appelant, ne fût pas au courant de ce que ce dernier faisait l'objet d'une interdiction de pénétrer en Suisse valable depuis le 5 mars 2023 et que, le sachant, il se soit servi de sa pièce d'identité. Au contraire, si tel que le prétend l'appelant, son colocataire avait utilisé son document d'identité sans connaître l'interdiction dont il faisait l'objet, il n'aurait pas feint un appel lors du contrôle et pris aussi rapidement la fuite. Enfin, l'appelant n'a pas signalé le vol, voire la perte, de son document d'identité après le 3 avril 2023. Aussi, il n'y a pas lieu de douter que c'est bien l'appelant qui a fait l'objet du contrôle d'identité litigieux et pris la fuite. 2.3.2.2. En agissant de la sorte, il a sciemment entravé un gendarme dans l'accomplissement d'un acte officiel. Le verdict de culpabilité du chef d'infraction à l'art. 286 al. 1 CP doit être confirmé. 2.4.1. L'art. 115 al. 1 let. a LEI sanctionne quiconque contrevient aux dispositions sur l'entrée en Suisse (art. 5). Selon l'art. 5 al. 1 LEI, pour entrer en Suisse, tout étranger doit avoir une pièce de légitimation reconnue pour le passage de la frontière et être muni d’un visa si ce dernier est requis (let. a) ; disposer des moyens financiers nécessaires à son séjour (let. b) ; ne représenter aucune menace pour la sécurité et l’ordre publics ni pour les relations internationales de la Suisse (let. c) ; ne pas faire l’objet d’une mesure d’éloignement ou d’une expulsion (let. d). Sont libérées de l'obligation de visa, en dérogation à l'art. 6 al. 1 let. b hyp. 1 du code frontières Schengen, notamment les personnes titulaires d'un titre de séjour valable délivré par un État (État Schengen) lié par l'un des accords d'association à Schengen (art. 6 par.1 let. b hyp. 2 du code frontières Schengen). Selon le texte légal, l'infraction à l'art. 115 al. 1 let. a LEI est réalisée si l'une des prescriptions, cumulatives, sur l'entrée en Suisse, au sens de l'art. 5 LEI, est violée. 2.4.2. En l'occurrence, il ressort du dossier qu'à des dates non précisément déterminées, comprises entre les 27 janvier et 4 mars 2023, l'appelant a, selon ses propres explications, effectué des allers-retours entre la France et la Suisse et a, à ces occasions, régulièrement vendu du crack sur le territoire helvétique. Il ne conteste du reste plus sa condamnation pour infraction à l'art. 19 al. 1 let. c LStup pour les ventes de crack effectuées notamment entre les 4 janvier et 4 mars 2023 (supra, let. A b.b). Dans ces conditions, quand bien même l'appelant était au bénéfice d'une carte d'identité valide délivrée par l'Espagne – État Schengen ‒ qui lui permettait à priori une entrée en Suisse sans visa, force est d'admettre qu'il a enfreint les dispositions sur l'entrée dans le pays en y venant pour s'adonner au trafic de crack, une telle activité représentant, sans conteste, une menace pour la sécurité et l’ordre publics suisses. Il n'a au demeurant pas démontré l'existence de moyens de subsistance légaux autres que ceux provenant vraisemblablement du trafic de stupéfiants. Par conséquent, le verdict de culpabilité rendu à son encontre pour infraction à l'art. 115 al. 1 let. a LEI doit être confirmé. 2.5.1. L'art. 119 al. 1 LEI sanctionne quiconque enfreint une assignation à un lieu de résidence ou une interdiction de pénétrer dans une région déterminée (art. 74). L'art. 74 al. 1 let. a LEI octroie à l'autorité cantonale la compétence d'enjoindre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 cette mesure vise notamment à lutter contre le trafic illégal de stupéfiants.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3.2). 2.5.2. Il est établi que, le 5 mars 2023, l'appelant a fait l'objet d'une interdiction de pénétrer sur le territoire du canton de Genève, décision notifiée à la même date et valable durant 12 mois, le précité n'y ayant pas fait opposition, et prise au motif qu'il s'adonnait au trafic de stupéfiants dans ce secteur. Or, tel que retenu précédemment (supra, consid. 2.3.2), c'est bien l'appelant qui a fait l'objet du contrôle d'identité effectué par la police sur le sol genevois le 3 avril 2023. En dépit de ses dénégations sur ce point, en s'étant adonné au trafic de stupéfiants dans le canton au début de l'année 2023 – étant relevé qu'il ne conteste désormais plus le verdict de culpabilité rendu à son encontre de ce chef (art. 19 al. 1 let. c LStup) ‒, l'appelant a troublé et menacé la sécurité et l'ordre publics. Dans ces conditions, l'appelant a manifestement enfreint, le 3 avril 2023, l'interdiction de périmètre dûment notifiée près d'un mois plus tôt et entrée en force. Partant, le verdict de culpabilité rendu à son égard du chef d'infraction à l'art. 119 al. 1 LEI doit être confirmé, étant par ailleurs relevé qu'une telle infraction peut entrer en concours idéal avec l'entrée illégale ( AARP/231/2024 du 15 juillet 2024 consid. 4.2.1).</w:t>
      </w:r>
    </w:p>
    <w:p>
      <w:r>
        <w:rPr>
          <w:b/>
        </w:rPr>
        <w:t>E. 3.1</w:t>
      </w:r>
    </w:p>
    <w:p>
      <w:r>
        <w:t>Les infractions aux articles 123 al. 1 aCP, 180 al. 1 CP, 19 al. 1 let. c LStup et 119 al. 1 LEI sont punies d’une peine privative de liberté de trois ans au plus ou d’une peine pécuniaire. Dans les cas d'infraction à l'art. 123 al. 1 aCP de peu de gravité, le juge pourra atténuer la peine (art. 48a). L'infraction à l'art. 115 al. 1 let. a LEI est sanctionnée d’une peine privative de liberté d'un an au plus ou d’une peine pécuniaire. L'infraction à l'art. 286 al. 1 CP est réprimée d'une peine pécuniaire de 30 jours-amende au plus, tandis que celle à l'art. 177 al. 1 CP l'est d'une peine pécuniaire de 90 jours-amende au plus. La contravention à l'art. 19a ch. 1 LStup est passible d'une amende.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même étrangers (ATF 105 IV 225 consid. 2),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L'art. 47 CP confère un large pouvoir d'appréciation au juge.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3.2.2. D'après l'art. 40 CP, la durée minimale de la peine privative de liberté est de trois jours. 3.2.3. 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 3.2.4.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3.3</w:t>
      </w:r>
    </w:p>
    <w:p>
      <w:r>
        <w:t>La faute de l'appelant n'est pas négligeable. Il s'en est pris à l'intégrité physique, à l'honneur et à la liberté d'autrui, à l'autorité et aux interdits en vigueur en matière de stupéfiants et de séjour des étrangers. Il a fait preuve d'une volonté délictuelle intense en commettant différentes infractions sur une période pénale relativement brève. Ses mobiles étaient futiles et égoïstes, relevant de sa convenance personnelle. Il y a concours d'infractions, ce qui constitue un facteur d'aggravation de la peine. La collaboration de l'appelant à la procédure n'a pas été bonne, dès lors qu'il a persisté à contester la plupart des infractions qui lui sont reprochées, malgré les éléments incriminants recueillis à son encontre. Il n'a fini par reconnaître, en appel, la vente de stupéfiants que partiellement, ne contestant plus cette infraction mais prétendant qu'il s'agissait davantage de " partages " ou d'" échanges ". Sa prise de conscience reste donc fortement à parfaire. L'appelant a un antécédent spécifique en matière d'infraction à la loi sur les stupéfiants. Sa situation personnelle ne justifie aucunement ses agissements. Il bénéficie notamment de la nationalité espagnole et était en mesure de se tenir à l'écart de la voie pénale. Compte tenu de ce qui précède, il convient d'infliger à l'appelant une peine privative de liberté pour sanctionner les lésions corporelles simples, les menaces, l'infraction à l'art. 19 al. 1 let. c LStup et les infractions aux art. 115 al. 1 let. a et 119 al. 1 LEI. En effet, ces infractions sont liées au fait que l'appelant persiste à évoluer dans le milieu du trafic de stupéfiants en Suisse, malgré la peine pécuniaire prononcée à son encontre pour infraction à la LStup en novembre 2022, qui ne l'a manifestement pas détourné de la récidive. Au vu des nombreuses dispositions enfreintes, sa volonté délictuelle s'est même accrue. Son domicile n'est par ailleurs pas connu et l'intéressé n'a produit aucun document attestant d'un emploi dans des conditions régulières en France voisine. L'infraction abstraitement la plus grave, soit les lésions corporelles simples, commande le prononcé d'une peine privative de liberté de base de 60 jours, aggravée de 20 jours pour réprimer les menaces (peine théorique : 30 jours), de 60 jours pour sanctionner l'infraction à l'art. 19 al. 1 let. c LStup (peine théorique : 90 jours), de 40 jours pour punir l'infraction à l'art. 119 al. 1 LEI (peine théorique : 60 jours) ainsi que de 30 jours supplémentaires pour réprimer celle à l'art. 115 al. 1 let. a LEI (peine théorique : 45 jours). Aussi, il se justifierait de prononcer à l'encontre de l'appelant une peine privative de liberté de l'ordre de 210 jours. Cela étant, compte tenu de l'interdiction de la reformatio in peius (art. 391 al. 2 CPP), la peine privative de liberté de 150 jours fixée par le premier juge – qui apparaît en définitive clémente ‒ sera confirmée, sous déduction des deux jours de détention avant jugement effectués par celui-ci (art. 51 CP). Tel que l'a considéré le premier juge, eu égard à ces infractions, le pronostic quant au comportement futur de l'appelant apparaît défavorable. En effet, ce dernier se montre ancré dans le trafic de stupéfiants, sans faire état d'autre projet de vie dans des conditions régulières. La peine privative de liberté prononcée ne sera ainsi pas assortie du sursis. L'infraction d'empêchement d'accomplir un acte officiel sera sanctionnée d'une peine-pécuniaire de 10 jours-amende, aggravée à 15 jours-amende pour réprimer également l'injure. Le montant de CHF 10.- l'unité, non critiqué en soi, apparaît par ailleurs adéquat au regard de la situation personnelle de l'appelant. Le bénéfice du sursis en ce qui concerne cette peine est acquis à l'appelant (art. 42 CP et 391 al. 2 CPP), le délai d'épreuve fixé à trois ans étant au surplus approprié (art. 44 CP). Il n'y a enfin pas lieu de revenir sur le prononcé d'une amende d'un montant de CHF 100.-, assortie d'une peine privative de liberté de substitution d'un jour, pour sanctionner la contravention en matière de stupéfiants (art. 106 CP). La décision du premier juge de ne pas révoquer le sursis accordé à l'appelant le 23 novembre 2022, malgré sa récidive durant le délai d'épreuve, lui est acquise (art. 46 CP et 391 al. 2 CPP).</w:t>
      </w:r>
    </w:p>
    <w:p>
      <w:r>
        <w:rPr>
          <w:b/>
        </w:rPr>
        <w:t>E. 4</w:t>
      </w:r>
    </w:p>
    <w:p>
      <w:r>
        <w:t>L'appelant, qui succombe entièrement, supportera les frais de la procédure envers l'État, comprenant un émolument d'arrêt de CHF 1'200.-. Il n'y a, au surplus, pas lieu de revoir la répartition des frais de première instance (art. 428 CPP et art. 14 al. 1 let. e du Règlement fixant le tarif des frais en matière pénale [RTFMP]).</w:t>
      </w:r>
    </w:p>
    <w:p>
      <w:r>
        <w:rPr>
          <w:b/>
        </w:rPr>
        <w:t>E. 5</w:t>
      </w:r>
    </w:p>
    <w:p>
      <w:r>
        <w:t>Considéré globalement, l'état de frais produit par M e B______, défenseure d'office de A______, à hauteur de CHF 1'081.-, TVA comprise, satisfait les exigences légales et jurisprudentielles régissant l'assistance judiciaire gratuite en matière pénale, de sorte que ce montant lui sera octroyé.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