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P/20397/2017 vom 14. Januar 2019</w:t>
      </w:r>
    </w:p>
    <w:p>
      <w:r>
        <w:t>GE Cour de justice, 2019-01-14, FR</w:t>
      </w:r>
    </w:p>
    <w:p>
      <w:r>
        <w:rPr>
          <w:b/>
        </w:rPr>
        <w:t xml:space="preserve">Quelle: </w:t>
      </w:r>
      <w:r>
        <w:t>https://mcp.opencaselaw.ch/entscheid/ge_gerichte_P_20397_2017</w:t>
      </w:r>
    </w:p>
    <w:p>
      <w:r>
        <w:t>FR: GE_GERICHTE P/20397/2017 du 14 janvier 2019</w:t>
      </w:r>
    </w:p>
    <w:p>
      <w:r>
        <w:t>IT: GE_GERICHTE P/20397/2017 del 14 gennaio 2019</w:t>
      </w:r>
    </w:p>
    <w:p>
      <w:pPr>
        <w:pStyle w:val="Heading2"/>
      </w:pPr>
      <w:r>
        <w:t>Regeste</w:t>
      </w:r>
    </w:p>
    <w:p>
      <w:r>
        <w:t>FIXATION DE LA PEINE ; CONCOURS D'INFRACTIONS ; ACTE D'ACCUSATION ; PRINCIPE DE L'ACCUSATION | CP.139.al1; CP.139.al2; CP.139.al3; CP.47; CP.49; CPP.325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Le juge n'est pas lié, dans la fixation de la peine, par les réquisitions du ministère public (arrêts du Tribunal fédéral 6B_98/2017 du 1 er septembre 2017 consid. 3.3.3 ; 6B_616/2015 du 5 avril 2016 consid. 3.3 ; 6B_553/2014 du 24 avril 2015 consid. 3.3 et les références citées). 3.1.2. Les antécédents continuent de jouer un rôle très important dans la fixation de la peine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arrêt 6B_688/2014 du 22 décembre 2017 consid. 27.2.1; arrêt 6B_1175/2017 du 11 avril 2018 consid. 2.1 et arrêt 6B_559/2018 du 26 octobre 2018 consid. 1.1.2).En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3.1.4. Le juge peut atténuer la peine si l'exécution d'un crime ou d'un délit n'est pas poursuivie jusqu'à son terme ou que le résultat nécessaire à la consommation de l'infraction ne se produit pas ou ne pouvait pas se produire (art. 22 al. 1 CP). 3.1.5. Le juge peut suspendre partiellement l'exécution d'une peine privative de liberté d'un an au moins et de trois ans au plus afin de tenir compte de façon appropriée de la faute de l'auteur (art. 43 al. 1 CP). Un pronostic défavorable exclut également le sursis partiel. En effet, s'il n'existe aucune perspective que l'auteur puisse être influencé de quelque manière par un sursis complet ou partiel, la peine doit être entièrement exécutée (ATF 134 IV 1 consid. 5.3.1 p. 10). 3.1.6.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(ATF 117 IV 395 consid. 4 p. 397; plus récemment arrêt 6B_335/2016 du 24 janvier 2017 consid. 3.3.1). 3.2.1. A titre liminaire, il sied d'observer que certains des actes reprochés ont eu lieu sous l'empire du droit antérieur à la réforme du droit des sanctions entrée en vigueur le 1 er janvier 2018, mais que celui-ci n'apparaît pas plus favorable au prévenu, de sorte qu'il n'y sera pas fait référence. 3.2.2. La faute de l'appelant est lourde. Il s'en est sciemment pris, de manière rapide, conséquente et sur une longue durée aux patrimoines de plus d'une dizaine de personnes en s'attaquant à de multiples biens juridiques dont elles étaient titulaires ainsi qu'à la loi sur les étrangers. Ses mobiles relèvent de l'appât du gain facile, de l'égoïsme et du mépris des règles de la vie sociale. Il a de plus agi avec sang-froid sachant que des personnes pouvaient se trouver dans les logements qu'il cambriolait en pleine nuit, à l'instar de celui d'I______, même s'il ne souhaitait pas de confrontation. Le recours systématique à un même modus suivant les séries de cambriolage (utilisation d'un outil plat, respectivement d'une chignole) dénote de l'adaptabilité et d'une certaine maîtrise et connaissance des techniques permettant de s'introduire dans des logements de manière ciblée. Il y a concours d'infractions, étant relevé que le cadre de l'infraction la plus grave commise est celui du vol en bande, punissable d'une peine privative de liberté de 10 ans au plus et de 180 jours-amende au moins, alors que le prévenu réalise la circonstance aggravante du métier pour d'autres cas que ceux dans lesquels le vol en bande a été retenu. La période pénale est longue, dénotant une volonté délictuelle forte et prononcée. Celle-ci est particulièrement mise en évidence par la réitération intervenue en octobre 2017 alors que le prévenu venait d'être condamné en septembre 2017 en Allemagne pour des faits similaires. La collaboration de l'appelant à la procédure est plus que mitigée, de même que sa prise de conscience, celles-ci ne pouvant être qualifiées de bonnes. S'il a admis l'intégralité des faits, les preuves objectives recueillies, plus particulièrement les traces biologiques récoltées, ne lui laissaient guère de choix. Cependant l'appelant a d'abord intégralement nié les faits et, par la suite, après avoir appris l'existence des traces ADN, n'a donné que des explications extrêmement sommaires quant aux circonstances en se prévalant d'un défaut de mémoire. Alors même qu'il est établi qu'il a agi avec un ressortissant kosovar dans le cambriolage commis à ______ (BL) en octobre 2017, il n'a pas reconnu ce comparse lorsque la photographie de ce dernier lui a été présentée. Même s'il a exprimé des regrets, il a justifié ses actes par ses besoins personnels, notamment sa consommation de cocaïne dont il reconnait cependant ne pas être dépendant. Comme déjà relevé, la réitération récente à bref délai d'un cambriolage après un séjour en détention de plusieurs mois, permet de douter de sa sincérité. Sa situation personnelle ne saurait excuser ses agissements. Au contraire, célibataire sans charge de famille, l'appelant avait d'autant plus de liberté pour trouver un emploi. Il a d'ailleurs reconnu se livrer à une activité de commerce de véhicule qui pouvait lui rapporter de l'argent, même si ses déclarations ont été contradictoires à ce sujet. Il a également travaillé dans la construction. Il a en outre indiqué être aidé par sa famille en Albanie en cas de besoin, outre l'assistance reçue des autorités françaises dans le cadre de sa demande d'asile. Sa liberté de vouloir se consacrer à des activités illégales apparait entière, ce qui constitue un facteur aggravant de sa faute. Aucune circonstance atténuante au sens de l'art. 48 CP n'est réalisée. En définitive, il n'y a pas d'éléments qui, de façon marquante, puissent être retenus à décharge. Sa responsabilité est entière. Son antécédent allemand est spécifique et il a réitéré une atteinte au patrimoine en Suisse en 2017 dans un très court laps de temps après avoir été libéré d'une peine privative de liberté. L'ancienneté des cas commis à ______ (GE) doit ainsi être relativisée. Au regard de ces circonstances, le prononcé d'une peine privative de liberté se justifie pour chacune des infractions commises, ce que l'appelant ne conteste pas en soi. L'infraction de vol en bande commis à réitérées reprises en des lieux bien distincts justifie à elle seule une peine de 15 mois. A cela s'ajoute la circonstance aggravante du métier, la récidive et les multiples infractions de violation de domicile, la tentative de violation de domicile ainsi que les dommages à la propriété, outre l'atteinte à la loi sur les étrangers. La quotité de 30 mois fixée par le premier juge est ainsi adéquate et sera confirmée. A cet égard, même si le prévenu doit être acquitté de trois cas de vol en bande pour des raisons purement formelles, l'infraction au patrimoine par métier étant cependant réalisée, cela ne saurait conduire dans le cas d'espèce à une réduction de sa peine, vu l'importance plus que relative que cela induit en rapport à sa faute. L'octroi du sursis n'est, à juste titre, pas plaidé par l'appelant. Ce dernier présente un pronostic défavorable. En particulier, il n'a aucun projet d'avenir établi sinon celui, vague, de " se marier et trouver un travail " sans autres précisions. En raison de sa situation précaire et de sa récidive, seule une peine ferme apparaît dissuasive, de sorte qu'un sursis partiel lui sera également refusé. Aussi, la peine fixée par le premier juge ne peut-elle être que confirmée et l'appel rejeté sur ce point.</w:t>
      </w:r>
    </w:p>
    <w:p>
      <w:r>
        <w:rPr>
          <w:b/>
        </w:rPr>
        <w:t>E. 1.3</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w:t>
      </w:r>
    </w:p>
    <w:p>
      <w:r>
        <w:rPr>
          <w:b/>
        </w:rPr>
        <w:t>E. 2</w:t>
      </w:r>
    </w:p>
    <w:p>
      <w:r>
        <w:t>2.1.1. L'art. 139 a CP (art. 2 CP ; lex mitior ) prévoit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dix ans au plus ou d'une peine pécuniaire de 180 jours-amende au moins (six mois à 10 ans dès le 1 er janvier 2018), notamment si son auteur l'a commis en qualité d'affilié à une bande formée pour commettre des brigandages ou des vols (ch. 3 al. 2). 2.1.2. Il est question de bande lorsque deux ou plusieurs auteurs manifestent, expressément ou par actes concluants, la volonté de s'associer en vue de commettre un nombre déterminé ou non d'infractions même s'ils n'ont pas de plan et que les infractions futures ne sont pas encore déterminées (ATF 135 IV 158 consid. 2 et 3 p. 158 ss ; voir également arrêt du Tribunal fédéral 6B_1047/2008 du 20 mars 2009 consid. 4.1). Cette qualification 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 ; A. MACALUSO / L. MOREILLON / N. QUELOZ [éds], Commentaire romand, Code pénal II , 2017, n. 76 s. ad art. 139 ; B. CORBOZ, Les infractions en droit suisse , vol. I, 2010, n. 16 ad art. 139 ; J. HURTADO POZO, Droit pénal, partie spéciale , 2009, n. 934 p. 280 s.).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Mais il suffit aussi que seuls certains d'entre eux aident l'auteur, se bornent à l'aider physiquement ou psychiquement à préparer l'infraction, l'assistent dans sa fuite, participent au butin, etc. (ATF 83 IV 134 = JdT 1957 IV 99 ; voir également J. HURTADO POZO, op.cit. , n° 936 p. 281).</w:t>
      </w:r>
    </w:p>
    <w:p>
      <w:r>
        <w:rPr>
          <w:b/>
        </w:rPr>
        <w:t>E. 2.1</w:t>
      </w:r>
    </w:p>
    <w:p>
      <w:r>
        <w:t>En l'espèce, le Tribunal correctionnel a reconnu A______ coupable de vols en bande pour les cas 1.1 à 1.6 commis à ______ (GE) et les cas 1.8 à 1.10 commis à ______ (BS). On ignore ce qu'il en est du cas 1.12 commis à ______ (BL) en compagnie d'O______, le Tribunal correctionnel ne le mentionnant pas dans son jugement. Or, en rapport à l'aggravante de la bande, l'acte d'accusation, en son chiffre I, ne vise que les cas 1.1 à 1.7 ainsi que le cas 1.12. Dans cette mesure, il y a lieu d'acquitter A______ de l'aggravante de la bande pour les cas 1.8 à 1.10, le vol par métier étant à retenir en lieu et place.</w:t>
      </w:r>
    </w:p>
    <w:p>
      <w:r>
        <w:rPr>
          <w:b/>
        </w:rPr>
        <w:t>E. 2.2</w:t>
      </w:r>
    </w:p>
    <w:p>
      <w:r>
        <w:t>Cela étant, il apparaît que c'est à juste titre que le Tribunal correctionnel a retenu l'aggravante de la bande à tout le moins pour les cas 1.1 à 1.6. En effet, A______, qui a admis agir en général avec une autre personne, a reconnu dans ce contexte avoir fait la connaissance de son comparse avant de se livrer aux cambriolages qui ont été décidés d'un commun accord. Le fait que ce groupe a été éphémère, ayant agi dans la nuit du 19 mai, puis le 23 mai 2012, n'est aucunement un obstacle au but commun de perpétrer une pluralité d'infractions, tel que cela a été le cas. Si elles étaient choisies " au hasard ", les villas cibles étaient cependant observées et identifiées dans la mesure où les recherches étaient concentrées sur des séjours non occupés. Une chignole, achetée ensemble dans un supermarché, était utilisée alternativement par l'un ou par l'autre des auteurs, ce qui laissait tout loisir au second pour assister son comparse. En outre, il n'est pas vraisemblable que, lors de la fouille des logements, les comparses ne recherchent pas des objets ou valeurs séparément, y compris dans la même pièce, ce qui accroît la rapidité de leur action. Dans cette mesure, il peut sans autre être retenu, conformément à la jurisprudence, que non seulement les deux auteurs participaient concrètement à l'exécution mais également le fait qu'un soutien psychique de l'un envers l'autre favorisait la commission des infractions. Ainsi, une certaine organisation prévalait entre les auteurs de sorte que la circonstance aggravante de la bande était bien réalisée, l'appel étant rejeté sur ce point, sous la réserve des cas 1.8 à 1.10 visés par l'acte d'accusation comme cité supra pour un motif non plaidé.</w:t>
      </w:r>
    </w:p>
    <w:p>
      <w:r>
        <w:rPr>
          <w:b/>
        </w:rPr>
        <w:t>E. 3</w:t>
      </w:r>
    </w:p>
    <w:p>
      <w:r>
        <w:t>3.</w:t>
      </w:r>
    </w:p>
    <w:p>
      <w:r>
        <w:rPr>
          <w:b/>
        </w:rPr>
        <w:t>E. 4</w:t>
      </w:r>
    </w:p>
    <w:p>
      <w:r>
        <w:t>Les motifs ayant conduit les premiers juges à prononcer, par ordonnance séparée du 18 juin 2018, le maintien de l'appelant en détention pour des motifs de sûreté sont toujours d'actualité, ce que celui-ci ne conteste au demeurant pas, de sorte que la mesure sera reconduite mutatis mutandis (ATF 139 IV 277 consid. 2.2 à 2.3).</w:t>
      </w:r>
    </w:p>
    <w:p>
      <w:r>
        <w:rPr>
          <w:b/>
        </w:rPr>
        <w:t>E. 5</w:t>
      </w:r>
    </w:p>
    <w:p>
      <w:r>
        <w:t>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110.- pour l'avocat stagiaire (let. a), débours de l'étude inclus. En cas d'assujettissement, l'équivalent de la TVA est versé en sus. 5.1.3. Pour fixer la rémunération de l'avocat, le nombre d'heures nécessaires pour assurer la défense d'office du prévenu est décisif (art. 16 al. 2 RAJ ;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(ATF 141 I 124 consid. 3.2 p. 126 ; ATF 125 V 408 consid. 3a p. 409 ; arrêts du Tribunal fédéral 6B_1410/2017 du 15 juin 2018 consid. 4.1 ; décision du Tribunal pénal fédéral BB.2015.85 du 12 avril 2016 consid. 3.2.3). 5.1.4.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En l'espèce, considéré dans sa globalité, l'état de frais produit par le défenseur d'office de A______ paraît adéquat et conforme aux principes qui précèdent, à l'exception du temps consacré à la rédaction du mémoire d'appel motivé, qui est excessif compte tenu de la complexité relative de la cause, quand bien même effectué par un stagiaire en formation. Dite activité sera partant ramenée à 8h, étant précisé que près de la moitié du mémoire est consacré au résumé des faits, alors que seuls des points de droit sont contestés. Aussi, l'indemnité sera arrêtée à CHF 2'094.10, correspondant à 13 heures d'activité au tarif de CHF 110.-/heure, plus la majoration forfaitaire de 10% (CHF 143.-) compte tenu de l'activité déployée jusqu'en appel, TVA à 7.7% en sus (CHF 121.10), ainsi qu'à CHF 400.- pour les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