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P/20373/2017 vom 15. Juli 2021</w:t>
      </w:r>
    </w:p>
    <w:p>
      <w:r>
        <w:t>GE Cour de justice, 2021-07-15, FR</w:t>
      </w:r>
    </w:p>
    <w:p>
      <w:r>
        <w:rPr>
          <w:b/>
        </w:rPr>
        <w:t xml:space="preserve">Quelle: </w:t>
      </w:r>
      <w:r>
        <w:t>https://mcp.opencaselaw.ch/entscheid/ge_gerichte_P_20373_2017</w:t>
      </w:r>
    </w:p>
    <w:p>
      <w:r>
        <w:t>FR: GE_GERICHTE P/20373/2017 du 15 juillet 2021</w:t>
      </w:r>
    </w:p>
    <w:p>
      <w:r>
        <w:t>IT: GE_GERICHTE P/20373/2017 del 15 luglio 2021</w:t>
      </w:r>
    </w:p>
    <w:p>
      <w:pPr>
        <w:pStyle w:val="Heading2"/>
      </w:pPr>
      <w:r>
        <w:t>Regeste</w:t>
      </w:r>
    </w:p>
    <w:p>
      <w:r>
        <w:t>AVEU;RÉVOCATION(EN GÉNÉRAL) | CP.66a; CPP.160;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 jurisprudence, la procédure de recours au sens large ( Rechtsmittel par opposition à Beschwerde ) se fonde sur les preuves administrées pendant la procédure préliminaire et la procédure de première instance (art. 389 al. 1 CPP), selon le principe de l'immédiateté restreinte de l'administration des preuves qui prévaut déjà en première instance (cf. art. 343 et 349 CPP a contrario ). L'autorité de recours n'en administre pas moins, d'office ou à la demande d'une partie, les preuves complémentaires nécessaires au traitement du recours (art. 389 al. 3 CPP). 2.1.2. Conformément à l'art. 339 al. 2, 3 et 4 CPP applicable par renvoi de l'art. 405 al. 1 CPP, la direction de la procédure de la juridiction d'appel statue immédiatement sur les questions préjudicielles ou incidentes soulevées durant les débats.</w:t>
      </w:r>
    </w:p>
    <w:p>
      <w:r>
        <w:rPr>
          <w:b/>
        </w:rPr>
        <w:t>E. 2.2</w:t>
      </w:r>
    </w:p>
    <w:p>
      <w:r>
        <w:t>En l'espèce, l'appelant, qui dénonce des manipulations de la police, soutient que la description faite par la plaignante le 5 octobre 2017 correspond à celle de E______ et non à la sienne. Pour en attester, son conseil a sollicité, sans toutefois y revenir à l'audience d'appel, l'audition de D______, seule personne en Suisse " connaissant bien " les deux prévenus. Tout d'abord, on peine à comprendre en quoi D______, qui n'était pas présente lors de l'audition du 5 octobre 2017, pourrait témoigner de prétendues manipulations intervenues à cette occasion. Pour le surplus, en dépit de l'absence de l'appelant à l'audience, la description précise offerte par la plaignante dès sa première audition correspond aux photographies de celui-ci figurant à la procédure (C-26 ; C-135 ; C-148). Sur la base des photographies de E______ présentes au dossier et des informations consignées à son sujet, il apparaît en outre que ce dernier est, en comparaison de l'appelant, plus jeune et qu'il présente une silhouette plus menue (B-4). Par ailleurs, la plaignante a identifié par deux fois l'appelant, soit une première fois sur planche photographique et une seconde fois lors de l'audience de confrontation. Par conséquent, si tant est que l'audition de D______ ait à nouveau valablement été redemandée à la CPAR, elle est refusée.</w:t>
      </w:r>
    </w:p>
    <w:p>
      <w:r>
        <w:rPr>
          <w:b/>
        </w:rPr>
        <w:t>E. 3</w:t>
      </w:r>
    </w:p>
    <w:p>
      <w:r>
        <w:t>3.1.1.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2.2.3.2 ; 127 I 28 consid. 2a p. 40 s.). En tant que règle sur le fardeau de la preuve, la présomption d'innocence signifie que ce fardeau incombe à l'accusation et que le doute doit profiter au prévenu. Le principe est violé si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3.1.2. D'après la jurisprudence, le juge du fait dispose d'un large pouvoir dans l'appréciation des preuves (ATF 120 Ia 31 consid. 4b p. 40). Confronté à des versions contradictoires, le juge forge sa conviction sur la base d'un ensemble d'éléments ou d'indices convergents. L'appréciation des preuves doit être examinée dans son ensemble et l'état de fait déduit du rapprochement de divers éléments ou indices (arrêt du Tribunal fédéral 6B_429/2008 du 7 novembre 2008 consid. 4.2.2). 3.1.3. Selon l'art. 160 CPP, si le prévenu avoue, le ministère public ou le tribunal s'assurent de la crédibilité de ses déclarations et l'invitent à décrire précisément les circonstances de l'infraction. L'aveu est une preuve ordinaire qui n'a pas de valeur particulière. Il permet la condamnation de l'auteur lorsque le juge est convaincu qu'il est intervenu sans contrainte et paraît vraisemblable. Face à des aveux, suivis de rétractations,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références citées). 3.2.1. Se rend coupable de brigandage celui qui aura commis un vol en usant de violence à l'égard d'une personne, en la menaçant d'un danger imminent pour la vie ou l'intégrité corporelle ou en la mettant hors d'état de résister (art. 140 ch. 1 CP). 3.2.2. Selon l'art. 144 al. 1 CP, se rend coupable de dommage à la propriété celui qui aura endommagé, détruit ou mis hors d'usage une chose appartenant à autrui ou frappée d'un droit d'usage ou d'usufruit au bénéfice d'autrui. 3.2.3. Aux termes de l'art. 186 CP, se rend coupable de violation de domicile celui qui, notamment, d'une manière illicite et contre la volonté de l'ayant droit, aura pénétré dans une habitation. L'infraction est consommée dès que l'auteur s'introduit, contre la volonté de l'ayant droit, dans le domaine clos (ATF 128 IV 81 consid. 4a ; 6B_1056/2013 du 20 août 2014 consid. 2.1).</w:t>
      </w:r>
    </w:p>
    <w:p>
      <w:r>
        <w:rPr>
          <w:b/>
        </w:rPr>
        <w:t>E. 3.3</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En d'autres termes, la réduction devra être d'autant plus faible que le résultat était proche et ses conséquences graves (ATF 127 IV 101 consid. 2b p. 103 ; arrêt du Tribunal fédéral 6B_42/2015 du 22 juillet 2015 consid. 2.4.1). La tentative suppose que l'auteur réalise tous les éléments subjectifs de l'infraction et qu'il manifeste sa décision de la commettre, mais sans en réaliser tous les éléments objectifs (ATF 120 IV 199 consid. 3e p. 206).</w:t>
      </w:r>
    </w:p>
    <w:p>
      <w:r>
        <w:rPr>
          <w:b/>
        </w:rPr>
        <w:t>E. 3.4</w:t>
      </w:r>
    </w:p>
    <w:p>
      <w:r>
        <w:t>Est un coauteur celui qui collabore, intentionnellement et de manière déterminante, avec d'autres personnes à la décision de commettre une infraction, à son organisation ou à son exécution, au point d'apparaître comme l'un des participants principaux.</w:t>
      </w:r>
    </w:p>
    <w:p>
      <w:r>
        <w:rPr>
          <w:b/>
        </w:rPr>
        <w:t>E. 3.5</w:t>
      </w:r>
    </w:p>
    <w:p>
      <w:r>
        <w:t>En l'espèce, les dénégations de l'appelant, intervenues pour la première fois devant le TP et dans lesquelles son conseil a persisté en appel, ne sont pas crédibles. Les motifs – multiples – invoqués pour justifier ses aveux partiels à la police ne convainquent pas. Il affirme avoir pensé que c'était un vol simple, mais il a admis deux fois sa présence sur les lieux devant le MP alors qu'il avait été dûment informé par la police que la plaignante avait dénoncé des menaces exercées au moyen d'un couteau ainsi qu'un coup asséné au genou. Il prétend que la police l'a manipulé en profitant de sa dépendance, mais l'occasion lui a été donnée, avant son audition, de voir un médecin, qui lui a administré de la méthadone. Enfin, il a indiqué à diverses reprises et spontanément durant l'instruction qu'il regrettait ses agissements. Par ailleurs, l'absence d'ADN de l'appelant est sans portée, puisqu'elle atteste simplement du fait que ce dernier n'est vraisemblablement pas celui qui a arraché le cylindre. S'agissant de l'appelant, la plaignante a précisément décrit son rôle et l'a identifié à deux reprises – sur une planche photographique et lors de l'audience de confrontation au MP –, comme étant l'homme qui était entré par effraction, l'avait menacée au moyen d'un couteau et lui avait asséné un coup au genou. Il ressort enfin du dossier que les deux comparses avaient été contrôlés ensemble quelques jours à peine avant les faits, y compris pour l'un d'entre eux avec des parfums volés, et à proximité d'un outil propre à commettre des cambriolages. Au vu de l'ensemble de ces éléments, la CPAR retient, sans qu'un doute ne subsiste, que l'appelant est bien le coauteur du dommage à la propriété, et auteur direct de la violation de domicile, ainsi que la tentative de brigandage, de sorte que le verdict de culpabilité prononcé à son égard, sera confirmé et l'appel rejeté sur ce point.</w:t>
      </w:r>
    </w:p>
    <w:p>
      <w:r>
        <w:rPr>
          <w:b/>
        </w:rPr>
        <w:t>E. 4</w:t>
      </w:r>
    </w:p>
    <w:p>
      <w:r>
        <w:t>4.1.1. Le brigandage simple (art. 140 ch. 1 CP en vigueur au moment des faits) est passible d'une peine privative de liberté de dix ans au plus ou d'une peine pécuniaire de 180 jours-amende au moins. Le dommage à la propriété (art. 144 al. 1 CP) et la violation de domicile (art. 186 CP) sont passibles d'une peine privative de liberté de trois ans au plus ou d'une peine pécuniaire. Il sera fait application du droit en vigueur jusqu'au 31 décembre 2017, les actes reprochés à l'appelant ayant été commis sous l'empire de ce droit, et le nouveau droit des sanctions, qui marque globalement un durcissement, ne lui apparaissant pas plus favorable (art. 2 CP ; M. DUPUIS et al. [éds], Code pénal - Petit commentaire , 2 ème éd. Bâle 2017, n. 6 ad art. 34 à 41 CP).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4.1.4.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S'il suspend totalement ou partiellement l'exécution d'une peine, il impartit au condamné un délai d'épreuve de deux à cinq ans (art. 44 al. 1 CP).</w:t>
      </w:r>
    </w:p>
    <w:p>
      <w:r>
        <w:rPr>
          <w:b/>
        </w:rPr>
        <w:t>E. 4.2</w:t>
      </w:r>
    </w:p>
    <w:p>
      <w:r>
        <w:t>En l'espèce, l'appelant ne conteste pas le genre de peine prononcé, au-delà de l'acquittement plaidé. Une peine privative de liberté compte tenu des circonstances, est en effet adéquate et conforme au droit. A juste titre, le TP a retenu qu'il se justifiait de prononcer une peine privative de liberté pour l'ensemble des infractions commises par l'appelant, au vu de la gravité des faits et de l'absence totale de prise de conscience. Sa faute est importante ; il s'en est pris à plusieurs biens juridiques protégés, en particulier au patrimoine et à la liberté, pour des motifs égoïstes et par pur appât du gain. Sa situation personnelle ne justifie en aucun cas l'acte commis, étant précisé qu'il a affirmé qu'il avait une activité professionnelle lui assurant un revenu mensuel confortable, au regard de son pays de domicile. Sa collaboration à l'enquête a été mauvaise. S'il a tout d'abord admis une partie des faits qui lui étaient reprochés, tout en les minimisant, il s'est ensuite rétracté en niant sa présence sur le lieu des faits, prétextant avoir été manipulé. Sa prise de conscience apparaît ainsi inexistante. Il a dans un premier temps exprimé des regrets, lesquels n'ont plus de portée compte tenu de sa rétractation. Il n'assume donc pas ses responsabilités et a tenté de rejeter la faute sur son comparse, alors que c'est lui qui s'est introduit dans l'appartement, a menacé et asséné un coup au genou de la plaignante. L'appelant est dépourvu d'antécédents judiciaires en Suisse et a fait l'objet d'une condamnation en Géorgie en 1999. Dès lors, une peine de huit mois s'avère adéquate pour la tentative de brigandage, qui constitue l'infraction abstraitement la plus grave. Cette peine sera augmentée de deux mois (peine théorique de trois mois) pour chacune des deux infractions de violation de domicile et de dommages à la propriété. La peine d'ensemble de 12 mois avec sursis prononcée par le TP sera ainsi confirmée, sous déduction de 80 jours de détention avant jugement. Le délai d'épreuve de cinq ans, tel que retenu par le TP, est adéquat et de nature à détourner l'intéressé de la commission de nouvelles infractions.</w:t>
      </w:r>
    </w:p>
    <w:p>
      <w:r>
        <w:rPr>
          <w:b/>
        </w:rPr>
        <w:t>E. 5</w:t>
      </w:r>
    </w:p>
    <w:p>
      <w:r>
        <w:t>5.1.1. Le juge expulse un étranger du territoire suisse pour une durée de cinq à quinze ans s'il est reconnu coupable de brigandage (art. 66a al. 1 let. c CP). 5.1.2. La fixation de la durée de l'expulsion impose le respect du principe de proportionnalité en rapport à la vie privée de l'expulsé, notamment par une pesée des intérêts entre celui public à l'éloignement et la situation personnelle du condamné. Celui qui ne peut se prévaloir d'aucun droit à séjourner en Suisse ne peut, en comparaison de prononcés de durées d'expulsion inférieures, se plaindre d'une quelconque atteinte à des garanties découlant des art. 13 Cst. ou 8 CEDH compte tenu d'une absence totale d'intégration en Suisse (arrêt du Tribunal fédéral 6B_242/2019 du 18 mars 2019 consid. 1.3).</w:t>
      </w:r>
    </w:p>
    <w:p>
      <w:r>
        <w:rPr>
          <w:b/>
        </w:rPr>
        <w:t>E. 5.2</w:t>
      </w:r>
    </w:p>
    <w:p>
      <w:r>
        <w:t>En l'espèce, l'appelant ayant été condamné pour tentative de brigandage, l'art. 66a al. 1 let. c CP est applicable et son expulsion est obligatoire. Ce dernier a manifesté sa volonté de quitter définitivement la Suisse et ne dispose d'aucun intérêt à y demeurer, compte tenu de l'absence totale de lien familial ou professionnel avec ce pays. Partant, son expulsion sera confirmée. Cela étant, au vu de l'ensemble des circonstances, notamment l'absence d'antécédents pour des infractions similaires en Suisse, une expulsion d'une durée de sept ans paraît plus proportionnée. Compte tenu des circonstances du cas d'espèce, il sera renoncé au signalement de cette mesure dans le Système d'information Schengen (SIS). L'appel sera dès lors admis sur ce point précis et le jugement réformé en conséquence.</w:t>
      </w:r>
    </w:p>
    <w:p>
      <w:r>
        <w:rPr>
          <w:b/>
        </w:rPr>
        <w:t>E. 6</w:t>
      </w:r>
    </w:p>
    <w:p>
      <w:r>
        <w:t>L'appelant, qui succombe largement, supportera les 8/10 èmes des frais de la procédure d'appel, y compris un émolument de jugement de CHF 1'500.- (art. 428 CPP). Le verdict de culpabilité étant intégralement confirmé, les frais de première instance seront inchangés (art. 428 al. 3 CPP). Pour le même motif, ses conclusions en indemnisation sont rejetées, étant au surplus précisé que l'appelant n'a bénéficié d'aucun classement partiel dans le cadre de la présente procédure (art. 429 CPP).</w:t>
      </w:r>
    </w:p>
    <w:p>
      <w:r>
        <w:rPr>
          <w:b/>
        </w:rPr>
        <w:t>E. 7</w:t>
      </w:r>
    </w:p>
    <w:p>
      <w:r>
        <w:t>7.1. Selon l'art. 135 al. 1 CPP, le défenseur d'office est indemnisé conformément au tarif des avocats du canton du for du procès. L'art. 16 du règlement sur l'assistance juridique (RAJ)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L'avocat doit être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Il en est de même du travail consistant en des recherches juridiques, – sauf questions particulièrement pointues ( AARP/147/2016 du 17 mars 2016 consid. 7.3 ; AARP/302/2013 du 14 juin 2013 ; AARP/267/2013 du 7 juin 2013).</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7.4</w:t>
      </w:r>
    </w:p>
    <w:p>
      <w:r>
        <w:t>En l'occurrence, l'état de frais déposé par M e B______, défenseur d'office d'A______, est globalement excessif. L'activité d'une heure consacrée à l'annonce d'appel et celle deux heures dédiée à la déclaration d'appel ne seront pas admises, étant précisé que l'intervention du mandataire s'est résumée à la rédaction de brefs courriers compris dans le forfait. L'activité de quatre heures et 30 minutes consacrée à la consultation de jurisprudence ne sera pas indemnisée dans la mesure où aucune question juridique particulièrement pointue ne se posait. Partant, il ne sera tenu compte que de cinq heures et dix minutes d'activité, correspondant aux deux heures d'étude du dossier, à une heure de consultation du dossier, à une heure de préparation pour l'audience et une heure et dix minutes pour les trois audiences. En conclusion, l'indemnité due à M e B______ sera arrêtée à CHF 1'640.- correspondant à cinq heures et dix minutes d'activité au tarif de CHF 200.-/heure plus la majoration forfaitaire de 20 % et quatre vacations à CHF 100.- et non soumise à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