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P/20357/2018 vom 18. Januar 2019</w:t>
      </w:r>
    </w:p>
    <w:p>
      <w:r>
        <w:t>GE Cour de justice, 2019-01-18, FR</w:t>
      </w:r>
    </w:p>
    <w:p>
      <w:r>
        <w:rPr>
          <w:b/>
        </w:rPr>
        <w:t xml:space="preserve">Quelle: </w:t>
      </w:r>
      <w:r>
        <w:t>https://mcp.opencaselaw.ch/entscheid/ge_gerichte_P_20357_2018</w:t>
      </w:r>
    </w:p>
    <w:p>
      <w:r>
        <w:t>FR: GE_GERICHTE P/20357/2018 du 18 janvier 2019</w:t>
      </w:r>
    </w:p>
    <w:p>
      <w:r>
        <w:t>IT: GE_GERICHTE P/20357/2018 del 18 gennaio 2019</w:t>
      </w:r>
    </w:p>
    <w:p>
      <w:pPr>
        <w:pStyle w:val="Heading2"/>
      </w:pPr>
      <w:r>
        <w:t>Regeste</w:t>
      </w:r>
    </w:p>
    <w:p>
      <w:r>
        <w:t>RISQUE DE COLLUSION ; RISQUE DE RÉCIDIVE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jurisprudence admet l'allégation de faits et la production de moyens de preuve nouveaux devant l'instance de recours au moment du dépôt du recours (arrêt du Tribunal fédéral 1B_768/2012 du 15 janvier 2013 consid. 2.1). La Chambre de céans jouit d'un plein pouvoir de cognition en droit, en fait et en opportunité (art. 393 al. 2 CPP) (ATF 137 I 195 consid. 2.3.2 p. 197; arrêt du Tribunal fédéral 1B_524/2012 du 15 novembre 2012 consid. 2.1).</w:t>
      </w:r>
    </w:p>
    <w:p>
      <w:r>
        <w:rPr>
          <w:b/>
        </w:rPr>
        <w:t>E. 3</w:t>
      </w:r>
    </w:p>
    <w:p>
      <w:r>
        <w:t>3.1. À teneur de l'art. 221 al. 1 première phrase CPP, la détention provisoire ne peut être ordonnée que lorsque le prévenu est fortement soupçonné d'avoir commis un crime ou un délit. En d'autres termes, pour qu'une personne soit placée en détention provisoire,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3.2</w:t>
      </w:r>
    </w:p>
    <w:p>
      <w:r>
        <w:t>Le recourant reproche au TMC d'avoir considéré que les charges pesant à son encontre étaient suffisantes pour prolonger sa détention provisoire alors que les derniers actes d'enquête (auditions de six témoins par la police les 13 décembre 2018, 8 et 15 janvier 2019) - qui ne figuraient pas au dossier et dont il avait demandé la production - les avaient au contraire infirmées. Il y a lieu tout d'abord de constater que ni le TMC ni la Chambre de céans n'ont été et ne sont à ce jour en possession des déclarations à la police des témoins dont les auditions ont été requises par mandats d'actes d'enquête du Ministère public du 15 novembre 2018. Lesdits actes ayant été exécutés et le conseil du prévenu ayant connaissance de leur contenu pour avoir assisté auxdites auditions, il convient que le Ministère public fasse diligence pour obtenir ces pièces - même de manière anticipée - et les joigne au dossier. Si le recourant considère que les charges pesant contre lui se sont, au vu de certains témoignages, sensiblement amoindries, il n'en demeure pas moins que le dossier fait toujours apparaître des soupçons suffisants à ce stade, étant rappelé qu'il n'appartient pas à la Chambre de céans mais au juge du fond de se prononcer sur sa culpabilité ou non. Il apparaît ainsi toujours, en l'état du dossier, que le recourant a lancé divers objets sur F______, ce qu'il admet, le blessant de la sorte. La vidéosurveillance du bar semble corroborer à cet égard que c'est le prévenu qui, après un échange de mots avec le précité, a soudainement tenté de lui porter un coup avant de se saisir d'un tabouret et de le lancer sur lui. La confrontation entre le prévenu et F______ n'ayant pas encore eu lieu, les charges demeurent suffisantes, indépendamment des déclarations qu'aurait faites T______ à la police selon lesquelles le précité aurait eu un couteau sur lui. Les parties plaignantes G______, H______ et J______, dûment confrontées au prévenu, ont chacune maintenu leurs plaintes. Le recourant prétend que deux témoins remettraient en cause les déclarations de ces deux dernières parties, L______ et M______. Il appartiendra, le cas échéant, au juge du fond d'apprécier la valeur de ces différentes déclarations, de sorte que des charges suffisantes subsistent à ce stade, à tout le moins s'agissant des faits au préjudice de G______, dont le recourant ne soutient pas qu'ils auraient été réfutés par le seul témoin présent, Q______ , étant relevé au surplus que le prévenu n'a pas contesté avoir proféré des menaces lors de son téléphone avec L______. Enfin, il résulte de l'audience de confrontation du 25 janvier 2019 entre le prévenu, d'une part, et C______ et E______, d'autre part, que ce dernier a confirmé avoir été agressé par les précités et que c'était le prévenu qui avait commencé à lui donner des coups de poing avant de le menacer de mort. Le prévenu ne conteste pas l'avoir frappé mais semble prétendre avoir été provoqué par son antagoniste qui lui avait ensuite lancé une bouteille en sa direction. S'il reviendra au juge du fond de se déterminer sur ces allégations, il n'en demeure pas moins que les charges apparaissent, ici également, suffisantes.</w:t>
      </w:r>
    </w:p>
    <w:p>
      <w:r>
        <w:rPr>
          <w:b/>
        </w:rPr>
        <w:t>E. 4</w:t>
      </w:r>
    </w:p>
    <w:p>
      <w:r>
        <w:t>Le recourant conteste l'existence d'un risque de collusion, vu les audiences de confrontations des 15 novembre 2018 et 25 janvier 2019 ainsi que les auditions par la police de six témoins les 13 décembre 2018, 8 janvier et 15 janvier 2019.</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l'occurrence, le recourant a certes déjà été confronté aux parties plaignantes, à l'exception de F______, et six témoins ont été entendus récemment par la police. Il n'en demeure pas moins qu'il existe un risque important, eu égard aux infractions reprochées au prévenu, qu'il ne tente de faire pression sur certains d'entre eux ou ne cherche à les intimider pour les amener à modifier leurs déclarations, ce risque étant accentué par les liens existant entre certains protagonistes [H______ est la mère de la compagne du prévenu, l'épouse de F______ et la soeur de J______]. Ce risque s'est du reste déjà concrétisé les ______ 2018 à l'égard de F______ et de G______ (cf. cas 8 et 4, supra consid. B. a). Partant, c'est à bon droit que ce risque a été retenu par le TMC.</w:t>
      </w:r>
    </w:p>
    <w:p>
      <w:r>
        <w:rPr>
          <w:b/>
        </w:rPr>
        <w:t>E. 5</w:t>
      </w:r>
    </w:p>
    <w:p>
      <w:r>
        <w:t>2. En l'espèce, le recourant a déjà été condamné, le 22 juin 2018, soit récemment, pour des actes de dommages à la propriété, menaces, tentative de contrainte et voies de fait. Les faits qui lui sont reprochés ici semblent dénoter chez lui une propension à la violence et à l'agressivité face à une contrariété. Cette absence de maîtrise de soi, à réitérées reprises, peut faire craindre de sa part de nouveaux comportements répréhensibles susceptibles de mettre en danger l'intégrité physique et psychique de tiers. C'est du reste dans cette optique qu'une expertise psychiatrique a été ordonnée. Le recourant ne démontre pas le contraire et s'égare en reprochant au premier juge d'avoir retenu ce risque sans qu'un élément nouveau ne survienne depuis sa mise en détention. Le risque de collusion, déjà retenu par le TMC lors de la mise en détention du prévenu et rappelé lors de sa décision de refus de mise en liberté - et non contesté par lui à ces occasions -, perdure manifestement.</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6</w:t>
      </w:r>
    </w:p>
    <w:p>
      <w:r>
        <w:t>Vu l'admission des risques précités, il est inutile d'examiner s'il existe également un risque de fuite.</w:t>
      </w:r>
    </w:p>
    <w:p>
      <w:r>
        <w:rPr>
          <w:b/>
        </w:rPr>
        <w:t>E. 7</w:t>
      </w:r>
    </w:p>
    <w:p>
      <w:r>
        <w:t>7.1. 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7.2</w:t>
      </w:r>
    </w:p>
    <w:p>
      <w:r>
        <w:t>Suivant la jurisprudence rendue en matière de prolongation de la détention provisoire, une motivation par renvoi à de précédentes décisions est admissible pour autant que le prévenu ne fasse pas valoir de faits ou d'arguments nouveaux et que les motifs auxquels il est renvoyé soient développés de manière suffisante au regard des exigences déduites de l'art. 29 al. 2 Cst. (ATF 123 I 31 consid. 2c p. 34; 114 Ia 281 consid. 4c p. 285; 103 Ia 407 consid. 3a p. 409; arrêt du Tribunal fédéral 1B_295/2014 du 23 septembre 2014 consid. 2.3; cf. aussi l'arrêt 6B_585/2015 du 7 décembre 2016 consid. 1.3.).</w:t>
      </w:r>
    </w:p>
    <w:p>
      <w:r>
        <w:rPr>
          <w:b/>
        </w:rPr>
        <w:t>E. 7.3</w:t>
      </w:r>
    </w:p>
    <w:p>
      <w:r>
        <w:t>En l'occurrence, le TMC a considéré qu'aucune mesure de substitution n'était susceptible d'atteindre le but de la détention, au vu des risques retenus, comme cela avait déjà été mentionné dans son ordonnance de refus de mise en liberté du 24 décembre 2018. Le recourant n'ayant pas fait valoir d'éléments nouveaux sous cet angle, en tant qu'il réitérait les mêmes mesures de substitution qu'il avait déjà sollicitées à l'appui de sa demande de mise en liberté, le TMC était fondé à se référer à sa précédente décision - motivée - pour les rejeter. Ce rejet doit être confirmé. On ne voit pas quelle mesure de substitution serait de nature à pallier le risque concret de collusion et le recourant n'en propose au demeurant aucune. Quant aux mesures proposées pour remédier au risque de réitération, elles apparaissent insuffisantes. Non seulement le recourant n'a entrepris aucune démarche thérapeutique mais encore rien n'indique, en l'état du dossier, qu'il ne souffre pas d'une pathologie pouvant expliquer ses comportements impulsifs et violents, laquelle nécessiterait des soins adaptés que seule l'expertise psychiatrique ordonnée pourra cerner. Tant que la dangerosité du recourant ne sera pas évaluée, rien n'indique donc que le suivi qu'il propose pourra pallier le risque de récidive retenu.</w:t>
      </w:r>
    </w:p>
    <w:p>
      <w:r>
        <w:rPr>
          <w:b/>
        </w:rPr>
        <w:t>E. 8</w:t>
      </w:r>
    </w:p>
    <w:p>
      <w:r>
        <w:t>Eu égard à la peine-menace et concrète encourue si le recourant était reconnu coupable de l'ensemble des faits reprochés, la durée de la détention provisoire subie à ce jour et à l'échéance de la prolongation ordonnée demeure largement proportionnée, vu les actes d'enquête encore en cours.</w:t>
      </w:r>
    </w:p>
    <w:p>
      <w:r>
        <w:rPr>
          <w:b/>
        </w:rPr>
        <w:t>E. 9</w:t>
      </w:r>
    </w:p>
    <w:p>
      <w:r>
        <w:t>Le recours s'avère ainsi infondé et doit être rejeté.</w:t>
      </w:r>
    </w:p>
    <w:p>
      <w:r>
        <w:rPr>
          <w:b/>
        </w:rPr>
        <w:t>E. 10</w:t>
      </w:r>
    </w:p>
    <w:p>
      <w:r>
        <w:t>Le recourant, qui succombe, supportera les frais envers l'État, qui comprendront un émolument de CHF 900.- (art. 428 al. 1 CPP et 13 al. 1 du Règlement fixant le tarif des frais en matière pénale, RTFMP; E 4 10.03).</w:t>
      </w:r>
    </w:p>
    <w:p>
      <w:r>
        <w:rPr>
          <w:b/>
        </w:rPr>
        <w:t>E. 11</w:t>
      </w:r>
    </w:p>
    <w:p>
      <w:r>
        <w:t>Il n'y a pas lieu d'indemniser à ce stade le défenseur d'office du recourant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