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P/2033/2021 vom 29. Januar 2021</w:t>
      </w:r>
    </w:p>
    <w:p>
      <w:r>
        <w:t>GE Cour de justice, 2021-01-29, FR</w:t>
      </w:r>
    </w:p>
    <w:p>
      <w:r>
        <w:rPr>
          <w:b/>
        </w:rPr>
        <w:t xml:space="preserve">Quelle: </w:t>
      </w:r>
      <w:r>
        <w:t>https://mcp.opencaselaw.ch/entscheid/ge_gerichte_P_2033_2021</w:t>
      </w:r>
    </w:p>
    <w:p>
      <w:r>
        <w:t>FR: GE_GERICHTE P/2033/2021 du 29 janvier 2021</w:t>
      </w:r>
    </w:p>
    <w:p>
      <w:r>
        <w:t>IT: GE_GERICHTE P/2033/2021 del 29 gennaio 2021</w:t>
      </w:r>
    </w:p>
    <w:p>
      <w:pPr>
        <w:pStyle w:val="Heading2"/>
      </w:pPr>
      <w:r>
        <w:t>Regeste</w:t>
      </w:r>
    </w:p>
    <w:p>
      <w:r>
        <w:t>DROIT D'ÊTRE ENTENDU;DENI DE JUSTICE;CONSTATATION DES FAITS;CALOMNIE;DIFFAMATION | CPP.393.al2; CPP.310; CP.173; CP.174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fait grief au Ministère public d'avoir constaté les faits de manière incomplète, commis un déni de justice et violé son droit d'être entendue.</w:t>
      </w:r>
    </w:p>
    <w:p>
      <w:r>
        <w:rPr>
          <w:b/>
        </w:rPr>
        <w:t>E. 3.1</w:t>
      </w:r>
    </w:p>
    <w:p>
      <w:r>
        <w:t>Aux termes de l'art. 393 al. 2 let. b CPP, le recours peut être formé pour constatation incomplète ou erronée des faits.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w:t>
      </w:r>
    </w:p>
    <w:p>
      <w:r>
        <w:rPr>
          <w:b/>
        </w:rPr>
        <w:t>E. 3.2</w:t>
      </w:r>
    </w:p>
    <w:p>
      <w:r>
        <w:t>Selon la jurisprudence, l'autorité qui ne traite pas un grief relevant de sa compétence, motivé de façon suffisante et pertinent pour l'issue du litige, commet un déni de justice formel proscrit par l'art. 29 al. 1 Cst. (ATF 135 I 6 consid. 2.1; arrêt du Tribunal fédéral 6B_583/2015 du 29 octobre 2015, consid. 3.3).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3.3</w:t>
      </w:r>
    </w:p>
    <w:p>
      <w:r>
        <w:t>En l'espèce, la recourante se plaint que l'ordonnance querellée n'ait traité qu'une partie des formulations litigieuses contenues dans les lettres des 16 et 26 novembre 2020. Il ressort toutefois de la décision, de manière certes succincte mais suffisante, que l'éventuel caractère attentatoire à son honneur des propos dénoncés par la recourante a été rejeté par le Ministère public, sans qu'il ne soit nécessaire qu'il liste chacune des affirmations litigieuses, étant précisé qu'elles concernent toutes l'existence - ou non - de nuisances sonores le soir du 11 novembre 2020. Quoi qu'il en soit, la Chambre de céans jouissant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Ainsi, même à retenir une violation de l'art. 29 Cst, celle-ci aurait été réparée durant la procédure de recours, la recourante ayant pu s'exprimer de manière complète et faire valoir ses arguments devant la Chambre de céans. Ce grief sera dès lors rejeté.</w:t>
      </w:r>
    </w:p>
    <w:p>
      <w:r>
        <w:rPr>
          <w:b/>
        </w:rPr>
        <w:t>E. 4</w:t>
      </w:r>
    </w:p>
    <w:p>
      <w:r>
        <w:t>La recourante reproche au Ministère public de ne pas être entré en matière sur sa plainte pénale.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w:t>
      </w:r>
    </w:p>
    <w:p>
      <w:r>
        <w:rPr>
          <w:b/>
        </w:rPr>
        <w:t>E. 4.3</w:t>
      </w:r>
    </w:p>
    <w:p>
      <w:r>
        <w:t>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w:t>
      </w:r>
    </w:p>
    <w:p>
      <w:r>
        <w:rPr>
          <w:b/>
        </w:rPr>
        <w:t>E. 4.4</w:t>
      </w:r>
    </w:p>
    <w:p>
      <w:r>
        <w:t>L'honneur protégé par le droit pénal est conçu de façon générale comme un droit au respect, qui est lésé par toute assertion propre à exposer la personne visée au mépris en sa qualité d'homme (ATF 137 IV 313 consid. 2.1.1 p. 315; 132 IV 112 consid. 2.1 p. 115).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105 IV 196 consid. 2 p. 195 s.). Selon la jurisprudence, un texte doit être analysé non seulement en fonction des expressions utilisées, prises séparément, mais aussi selon le sens général qui se dégage du texte dans son ensemble (ATF 137 IV 313 consid. 2.1.3 p. 315 s. et les références citées).</w:t>
      </w:r>
    </w:p>
    <w:p>
      <w:r>
        <w:rPr>
          <w:b/>
        </w:rPr>
        <w:t>E. 4.5</w:t>
      </w:r>
    </w:p>
    <w:p>
      <w:r>
        <w:t>En l'espèce, la recourante reproche au mis en cause d'avoir dit à leur régie immobilière que ses accusations étaient " mensongères " et d'avoir, par la plume de son conseil, écrit qu'elle devait " cesser [...] de s'inventer des nuisances qui n'exist [aient] que dans son esprit ". Force est de constater que ces affirmations ne sont pas, en soi, propres à faire apparaître la recourante comme une personne méprisable. Il ressort du dossier que les parties étaient en conflit au sujet de nuisances sonores que la recourante soutenait subir de la part du mis en cause, cette dernière ayant même requis la résiliation du contrat de son bail en raison de celles-ci. Les termes litigieux ont été formulés en réponse aux accusations de la recourante et visaient ainsi, d'évidence, non à porter atteinte à la probité de la recourante ou à contester ses qualités d'être humain, mais à nier l'existence de telles nuisances (" propos mensongers ") et faire cesser les plaintes de cette dernière à cet égard, afin de protéger le contrat de bail du mis en cause. L'expression selon laquelle les prétendues nuisances n'existaient que " dans son esprit " ne mettait pas en doute la santé mentale de la recourante, mais la réalité des bruits dont celle-ci attribuait l'origine au mis en cause. Ainsi, les propos litigieux n'étant pas attentatoires à l'honneur, le Ministère public était fondé à refuser d'entrer en matière sur la plainte pénale de la recourante. 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